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DC24E">
      <w:pPr>
        <w:pStyle w:val="129"/>
        <w:spacing w:before="156" w:beforeLines="50" w:after="156" w:afterLines="50"/>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65.160.10"/>
            </w:textInput>
          </w:ffData>
        </w:fldChar>
      </w:r>
      <w:r>
        <w:instrText xml:space="preserve">FORMTEXT</w:instrText>
      </w:r>
      <w:r>
        <w:fldChar w:fldCharType="separate"/>
      </w:r>
      <w:r>
        <w:rPr>
          <w:rFonts w:hint="eastAsia"/>
          <w:lang w:val="en-US" w:eastAsia="zh-CN"/>
        </w:rPr>
        <w:t>XX</w:t>
      </w:r>
      <w:r>
        <w:t>.</w:t>
      </w:r>
      <w:r>
        <w:rPr>
          <w:rFonts w:hint="eastAsia"/>
          <w:lang w:val="en-US" w:eastAsia="zh-CN"/>
        </w:rPr>
        <w:t>XXX</w:t>
      </w:r>
      <w:r>
        <w:t>.</w:t>
      </w:r>
      <w:r>
        <w:rPr>
          <w:rFonts w:hint="eastAsia"/>
          <w:lang w:val="en-US" w:eastAsia="zh-CN"/>
        </w:rPr>
        <w:t>XX</w:t>
      </w:r>
      <w:r>
        <w:fldChar w:fldCharType="end"/>
      </w:r>
      <w:bookmarkEnd w:id="0"/>
    </w:p>
    <w:p w14:paraId="4855BA37">
      <w:pPr>
        <w:pStyle w:val="129"/>
        <w:spacing w:before="156" w:beforeLines="50" w:after="156" w:afterLines="50"/>
      </w:pPr>
      <w:bookmarkStart w:id="1" w:name="WXFLH"/>
      <w:r>
        <w:fldChar w:fldCharType="begin">
          <w:ffData>
            <w:name w:val="WXFLH"/>
            <w:enabled/>
            <w:calcOnExit w:val="0"/>
            <w:helpText w:type="text" w:val="请输入中国标准文献分类号："/>
            <w:textInput>
              <w:default w:val="X 62"/>
            </w:textInput>
          </w:ffData>
        </w:fldChar>
      </w:r>
      <w:r>
        <w:instrText xml:space="preserve">FORMTEXT</w:instrText>
      </w:r>
      <w:r>
        <w:fldChar w:fldCharType="separate"/>
      </w:r>
      <w:r>
        <w:t xml:space="preserve">X </w:t>
      </w:r>
      <w:r>
        <w:rPr>
          <w:rFonts w:hint="eastAsia"/>
          <w:lang w:val="en-US" w:eastAsia="zh-CN"/>
        </w:rPr>
        <w:t>XX</w:t>
      </w:r>
      <w:r>
        <w:fldChar w:fldCharType="end"/>
      </w:r>
      <w:bookmarkEnd w:id="1"/>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44721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14:paraId="545DC570">
            <w:pPr>
              <w:pStyle w:val="129"/>
              <w:spacing w:before="156" w:beforeLines="50" w:after="156" w:afterLines="50"/>
            </w:pPr>
            <w: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6350" b="825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Iri/s1QAA&#10;AAcBAAAPAAAAAAAAAAEAIAAAACIAAABkcnMvZG93bnJldi54bWxQSwECFAAUAAAACACHTuJAc+xS&#10;pK8BAABnAwAADgAAAAAAAAABACAAAAAkAQAAZHJzL2Uyb0RvYy54bWxQSwUGAAAAAAYABgBZAQAA&#10;RQU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3C2A97FF">
      <w:pPr>
        <w:pStyle w:val="115"/>
        <w:spacing w:before="156" w:beforeLines="50" w:after="156" w:afterLines="50"/>
      </w:pPr>
      <w:r>
        <w:t>DB</w:t>
      </w:r>
      <w:bookmarkStart w:id="3" w:name="c3"/>
      <w:r>
        <w:fldChar w:fldCharType="begin">
          <w:ffData>
            <w:name w:val="c3"/>
            <w:enabled/>
            <w:calcOnExit w:val="0"/>
            <w:textInput>
              <w:maxLength w:val="2"/>
            </w:textInput>
          </w:ffData>
        </w:fldChar>
      </w:r>
      <w:r>
        <w:instrText xml:space="preserve"> FORMTEXT </w:instrText>
      </w:r>
      <w:r>
        <w:fldChar w:fldCharType="separate"/>
      </w:r>
      <w:r>
        <w:rPr>
          <w:rFonts w:hint="eastAsia"/>
        </w:rPr>
        <w:t>36</w:t>
      </w:r>
      <w:r>
        <w:fldChar w:fldCharType="end"/>
      </w:r>
      <w:bookmarkEnd w:id="3"/>
    </w:p>
    <w:p w14:paraId="397D43D3">
      <w:pPr>
        <w:pStyle w:val="116"/>
        <w:spacing w:before="156" w:beforeLines="50" w:after="156" w:afterLines="50"/>
        <w:outlineLvl w:val="0"/>
      </w:pPr>
      <w:bookmarkStart w:id="4" w:name="c4"/>
      <w:bookmarkStart w:id="5" w:name="_Toc27492"/>
      <w:bookmarkStart w:id="6" w:name="_Toc22088"/>
      <w:bookmarkStart w:id="7" w:name="_Toc118"/>
      <w:bookmarkStart w:id="8" w:name="_Toc19679"/>
      <w:bookmarkStart w:id="9" w:name="_Toc11701"/>
      <w:bookmarkStart w:id="10" w:name="_Toc6530"/>
      <w:bookmarkStart w:id="11" w:name="_Toc4270"/>
      <w:bookmarkStart w:id="12" w:name="_Toc30966"/>
      <w:r>
        <w:fldChar w:fldCharType="begin">
          <w:ffData>
            <w:name w:val="c4"/>
            <w:enabled/>
            <w:calcOnExit w:val="0"/>
            <w:textInput/>
          </w:ffData>
        </w:fldChar>
      </w:r>
      <w:r>
        <w:instrText xml:space="preserve"> FORMTEXT </w:instrText>
      </w:r>
      <w:r>
        <w:fldChar w:fldCharType="separate"/>
      </w:r>
      <w:r>
        <w:rPr>
          <w:rFonts w:hint="eastAsia"/>
        </w:rPr>
        <w:t>江西省</w:t>
      </w:r>
      <w:r>
        <w:fldChar w:fldCharType="end"/>
      </w:r>
      <w:bookmarkEnd w:id="4"/>
      <w:r>
        <w:rPr>
          <w:rFonts w:hint="eastAsia"/>
        </w:rPr>
        <w:t>地方标准</w:t>
      </w:r>
      <w:bookmarkEnd w:id="5"/>
      <w:bookmarkEnd w:id="6"/>
      <w:bookmarkEnd w:id="7"/>
      <w:bookmarkEnd w:id="8"/>
      <w:bookmarkEnd w:id="9"/>
      <w:bookmarkEnd w:id="10"/>
      <w:bookmarkEnd w:id="11"/>
      <w:bookmarkEnd w:id="12"/>
    </w:p>
    <w:p w14:paraId="2F419388">
      <w:pPr>
        <w:pStyle w:val="53"/>
        <w:spacing w:before="156" w:beforeLines="50" w:after="156" w:afterLines="50"/>
        <w:rPr>
          <w:rFonts w:hAnsi="黑体"/>
        </w:rPr>
      </w:pPr>
      <w:r>
        <w:rPr>
          <w:rFonts w:ascii="Times New Roman"/>
        </w:rPr>
        <w:t>DB</w:t>
      </w:r>
      <w:bookmarkStart w:id="13"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36</w:t>
      </w:r>
      <w:r>
        <w:rPr>
          <w:rFonts w:hAnsi="黑体"/>
        </w:rPr>
        <w:fldChar w:fldCharType="end"/>
      </w:r>
      <w:bookmarkEnd w:id="13"/>
      <w:r>
        <w:rPr>
          <w:rFonts w:hAnsi="黑体"/>
        </w:rPr>
        <w:t>/</w:t>
      </w:r>
      <w:r>
        <w:rPr>
          <w:rFonts w:hint="eastAsia" w:hAnsi="黑体"/>
        </w:rPr>
        <w:t xml:space="preserve">T </w:t>
      </w:r>
      <w:bookmarkStart w:id="14" w:name="StdNo1"/>
      <w:r>
        <w:rPr>
          <w:rFonts w:hint="eastAsia" w:hAnsi="黑体"/>
        </w:rPr>
        <w:fldChar w:fldCharType="begin">
          <w:ffData>
            <w:name w:val="StdNo1"/>
            <w:enabled/>
            <w:calcOnExit w:val="0"/>
            <w:textInput>
              <w:default w:val="1056"/>
            </w:textInput>
          </w:ffData>
        </w:fldChar>
      </w:r>
      <w:r>
        <w:rPr>
          <w:rFonts w:hint="eastAsia" w:hAnsi="黑体"/>
        </w:rPr>
        <w:instrText xml:space="preserve">FORMTEXT</w:instrText>
      </w:r>
      <w:r>
        <w:rPr>
          <w:rFonts w:hint="eastAsia" w:hAnsi="黑体"/>
        </w:rPr>
        <w:fldChar w:fldCharType="separate"/>
      </w:r>
      <w:r>
        <w:rPr>
          <w:rFonts w:hint="eastAsia" w:hAnsi="黑体"/>
          <w:lang w:eastAsia="zh-CN"/>
        </w:rPr>
        <w:t>X</w:t>
      </w:r>
      <w:r>
        <w:rPr>
          <w:rFonts w:hint="eastAsia" w:hAnsi="黑体"/>
          <w:lang w:val="en-US" w:eastAsia="zh-CN"/>
        </w:rPr>
        <w:t>XXX</w:t>
      </w:r>
      <w:r>
        <w:rPr>
          <w:rFonts w:hint="eastAsia" w:hAnsi="黑体"/>
        </w:rPr>
        <w:fldChar w:fldCharType="end"/>
      </w:r>
      <w:bookmarkEnd w:id="14"/>
      <w:r>
        <w:rPr>
          <w:rFonts w:hAnsi="黑体"/>
        </w:rPr>
        <w:t>—</w:t>
      </w:r>
      <w:bookmarkStart w:id="15" w:name="StdNo2"/>
      <w:r>
        <w:rPr>
          <w:rFonts w:hAnsi="黑体"/>
        </w:rPr>
        <w:fldChar w:fldCharType="begin">
          <w:ffData>
            <w:name w:val="StdNo2"/>
            <w:enabled/>
            <w:calcOnExit w:val="0"/>
            <w:textInput>
              <w:default w:val="XXXX"/>
              <w:maxLength w:val="4"/>
            </w:textInput>
          </w:ffData>
        </w:fldChar>
      </w:r>
      <w:r>
        <w:rPr>
          <w:rFonts w:hAnsi="黑体"/>
        </w:rPr>
        <w:instrText xml:space="preserve">FORMTEXT</w:instrText>
      </w:r>
      <w:r>
        <w:rPr>
          <w:rFonts w:hAnsi="黑体"/>
        </w:rPr>
        <w:fldChar w:fldCharType="separate"/>
      </w:r>
      <w:r>
        <w:rPr>
          <w:rFonts w:hAnsi="黑体"/>
        </w:rPr>
        <w:t>XXXX</w:t>
      </w:r>
      <w:r>
        <w:rPr>
          <w:rFonts w:hAnsi="黑体"/>
        </w:rPr>
        <w:fldChar w:fldCharType="end"/>
      </w:r>
      <w:bookmarkEnd w:id="15"/>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59EFA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19DF7CF0">
            <w:pPr>
              <w:pStyle w:val="82"/>
              <w:spacing w:before="156" w:beforeLines="50" w:after="156" w:afterLines="50"/>
            </w:pPr>
            <w:bookmarkStart w:id="16" w:name="DT"/>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9525"/>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bookmarkEnd w:id="16"/>
          </w:p>
        </w:tc>
      </w:tr>
    </w:tbl>
    <w:p w14:paraId="44ED5D0B">
      <w:pPr>
        <w:pStyle w:val="53"/>
        <w:spacing w:before="156" w:beforeLines="50" w:after="156" w:afterLines="50"/>
        <w:rPr>
          <w:rFonts w:hAnsi="黑体"/>
        </w:rPr>
      </w:pPr>
    </w:p>
    <w:p w14:paraId="1BFB3D39">
      <w:pPr>
        <w:pStyle w:val="53"/>
        <w:spacing w:before="156" w:beforeLines="50" w:after="156" w:afterLines="50"/>
        <w:rPr>
          <w:rFonts w:hAnsi="黑体"/>
        </w:rPr>
      </w:pPr>
    </w:p>
    <w:p w14:paraId="5389C04F">
      <w:pPr>
        <w:pStyle w:val="84"/>
        <w:framePr w:x="1338"/>
        <w:spacing w:before="156" w:beforeLines="50" w:after="156" w:afterLines="50"/>
      </w:pPr>
      <w:bookmarkStart w:id="17" w:name="StdName"/>
      <w:r>
        <w:rPr>
          <w:rFonts w:hint="eastAsia" w:ascii="黑体" w:eastAsia="黑体"/>
          <w:sz w:val="52"/>
          <w:lang w:bidi="ar-SA"/>
        </w:rPr>
        <w:fldChar w:fldCharType="begin">
          <w:ffData>
            <w:name w:val="StdName"/>
            <w:enabled/>
            <w:calcOnExit w:val="0"/>
            <w:textInput>
              <w:default w:val="地理标志产品 萍乡两头乌猪"/>
            </w:textInput>
          </w:ffData>
        </w:fldChar>
      </w:r>
      <w:r>
        <w:rPr>
          <w:rFonts w:hint="eastAsia" w:ascii="黑体" w:eastAsia="黑体"/>
          <w:sz w:val="52"/>
          <w:lang w:bidi="ar-SA"/>
        </w:rPr>
        <w:instrText xml:space="preserve">FORMTEXT</w:instrText>
      </w:r>
      <w:r>
        <w:rPr>
          <w:rFonts w:hint="eastAsia" w:ascii="黑体" w:eastAsia="黑体"/>
          <w:sz w:val="52"/>
          <w:lang w:bidi="ar-SA"/>
        </w:rPr>
        <w:fldChar w:fldCharType="separate"/>
      </w:r>
      <w:r>
        <w:rPr>
          <w:rFonts w:hint="eastAsia" w:ascii="黑体" w:eastAsia="黑体"/>
          <w:sz w:val="52"/>
          <w:lang w:bidi="ar-SA"/>
        </w:rPr>
        <w:t>地理标志产品</w:t>
      </w:r>
      <w:r>
        <w:rPr>
          <w:rFonts w:hint="eastAsia"/>
          <w:sz w:val="52"/>
          <w:lang w:eastAsia="zh-CN" w:bidi="ar-SA"/>
        </w:rPr>
        <w:t>质量要求</w:t>
      </w:r>
      <w:r>
        <w:rPr>
          <w:rFonts w:hint="eastAsia" w:ascii="黑体" w:eastAsia="黑体"/>
          <w:sz w:val="52"/>
          <w:lang w:bidi="ar-SA"/>
        </w:rPr>
        <w:t xml:space="preserve"> 萍乡两头乌猪</w:t>
      </w:r>
      <w:r>
        <w:rPr>
          <w:rFonts w:hint="eastAsia" w:ascii="黑体" w:eastAsia="黑体"/>
          <w:sz w:val="52"/>
          <w:lang w:bidi="ar-SA"/>
        </w:rPr>
        <w:fldChar w:fldCharType="end"/>
      </w:r>
      <w:bookmarkEnd w:id="17"/>
    </w:p>
    <w:p w14:paraId="1F9211EF">
      <w:pPr>
        <w:pStyle w:val="85"/>
        <w:framePr w:x="1338"/>
        <w:spacing w:before="156" w:beforeLines="50" w:after="156" w:afterLines="50"/>
      </w:pPr>
      <w:bookmarkStart w:id="18" w:name="StdEnglishName"/>
      <w:r>
        <w:rPr>
          <w:rFonts w:ascii="Times New Roman" w:eastAsia="黑体"/>
          <w:sz w:val="28"/>
          <w:szCs w:val="28"/>
          <w:lang w:bidi="ar-SA"/>
        </w:rPr>
        <w:fldChar w:fldCharType="begin">
          <w:ffData>
            <w:name w:val="StdEnglishName"/>
            <w:enabled/>
            <w:calcOnExit w:val="0"/>
            <w:textInput>
              <w:default w:val="Product of geographical indication—Pingxiang two black pigs"/>
            </w:textInput>
          </w:ffData>
        </w:fldChar>
      </w:r>
      <w:r>
        <w:rPr>
          <w:rFonts w:ascii="Times New Roman" w:eastAsia="黑体"/>
          <w:sz w:val="28"/>
          <w:szCs w:val="28"/>
          <w:lang w:bidi="ar-SA"/>
        </w:rPr>
        <w:instrText xml:space="preserve">FORMTEXT</w:instrText>
      </w:r>
      <w:r>
        <w:rPr>
          <w:rFonts w:ascii="Times New Roman" w:eastAsia="黑体"/>
          <w:sz w:val="28"/>
          <w:szCs w:val="28"/>
          <w:lang w:bidi="ar-SA"/>
        </w:rPr>
        <w:fldChar w:fldCharType="separate"/>
      </w:r>
      <w:r>
        <w:rPr>
          <w:rFonts w:hint="eastAsia" w:ascii="Times New Roman" w:eastAsia="黑体"/>
          <w:sz w:val="28"/>
          <w:szCs w:val="28"/>
          <w:lang w:bidi="ar-SA"/>
        </w:rPr>
        <w:t>Quality requirements for</w:t>
      </w:r>
      <w:r>
        <w:rPr>
          <w:rFonts w:hint="eastAsia"/>
          <w:sz w:val="28"/>
          <w:szCs w:val="28"/>
          <w:lang w:val="en-US" w:eastAsia="zh-CN" w:bidi="ar-SA"/>
        </w:rPr>
        <w:t xml:space="preserve"> p</w:t>
      </w:r>
      <w:r>
        <w:rPr>
          <w:rFonts w:ascii="Times New Roman" w:eastAsia="黑体"/>
          <w:sz w:val="28"/>
          <w:szCs w:val="28"/>
          <w:lang w:bidi="ar-SA"/>
        </w:rPr>
        <w:t>roduct of geographical indication—Pingxiang two black pigs</w:t>
      </w:r>
      <w:r>
        <w:rPr>
          <w:rFonts w:ascii="Times New Roman" w:eastAsia="黑体"/>
          <w:sz w:val="28"/>
          <w:szCs w:val="28"/>
          <w:lang w:bidi="ar-SA"/>
        </w:rPr>
        <w:fldChar w:fldCharType="end"/>
      </w:r>
      <w:bookmarkEnd w:id="18"/>
    </w:p>
    <w:p w14:paraId="000CAA67">
      <w:pPr>
        <w:pStyle w:val="86"/>
        <w:framePr w:x="1338"/>
        <w:spacing w:before="156" w:beforeLines="50" w:after="156" w:afterLines="50"/>
      </w:pPr>
      <w:bookmarkStart w:id="19" w:name="YZBS"/>
      <w:r>
        <w:rPr>
          <w:rFonts w:hint="eastAsia" w:ascii="宋体" w:hAnsi="Times New Roman" w:eastAsia="宋体" w:cs="Times New Roman"/>
          <w:sz w:val="28"/>
          <w:szCs w:val="28"/>
          <w:lang w:val="en-US" w:eastAsia="zh-CN" w:bidi="ar-SA"/>
        </w:rPr>
        <w:fldChar w:fldCharType="begin">
          <w:ffData>
            <w:name w:val="YZBS"/>
            <w:enabled/>
            <w:calcOnExit w:val="0"/>
            <w:textInput>
              <w:default w:val="（征求意见稿）"/>
            </w:textInput>
          </w:ffData>
        </w:fldChar>
      </w:r>
      <w:r>
        <w:rPr>
          <w:rFonts w:hint="eastAsia" w:ascii="宋体" w:hAnsi="Times New Roman" w:eastAsia="宋体" w:cs="Times New Roman"/>
          <w:sz w:val="28"/>
          <w:szCs w:val="28"/>
          <w:lang w:val="en-US" w:eastAsia="zh-CN" w:bidi="ar-SA"/>
        </w:rPr>
        <w:instrText xml:space="preserve">FORMTEXT</w:instrText>
      </w:r>
      <w:r>
        <w:rPr>
          <w:rFonts w:hint="eastAsia" w:ascii="宋体" w:hAnsi="Times New Roman" w:eastAsia="宋体" w:cs="Times New Roman"/>
          <w:sz w:val="28"/>
          <w:szCs w:val="28"/>
          <w:lang w:val="en-US" w:eastAsia="zh-CN" w:bidi="ar-SA"/>
        </w:rPr>
        <w:fldChar w:fldCharType="separate"/>
      </w:r>
      <w:r>
        <w:rPr>
          <w:rFonts w:hint="eastAsia" w:ascii="宋体" w:hAnsi="Times New Roman" w:eastAsia="宋体" w:cs="Times New Roman"/>
          <w:sz w:val="28"/>
          <w:szCs w:val="28"/>
          <w:lang w:val="en-US" w:eastAsia="zh-CN" w:bidi="ar-SA"/>
        </w:rPr>
        <w:t>（征求意见稿）</w:t>
      </w:r>
      <w:r>
        <w:rPr>
          <w:rFonts w:hint="eastAsia" w:ascii="宋体" w:hAnsi="Times New Roman" w:eastAsia="宋体" w:cs="Times New Roman"/>
          <w:sz w:val="28"/>
          <w:szCs w:val="28"/>
          <w:lang w:val="en-US" w:eastAsia="zh-CN" w:bidi="ar-SA"/>
        </w:rPr>
        <w:fldChar w:fldCharType="end"/>
      </w:r>
      <w:bookmarkEnd w:id="19"/>
    </w:p>
    <w:p w14:paraId="7E022F5E">
      <w:pPr>
        <w:pStyle w:val="136"/>
        <w:spacing w:before="156" w:beforeLines="50" w:after="156" w:afterLines="50" w:line="240" w:lineRule="exact"/>
      </w:pPr>
      <w:r>
        <w:rPr>
          <w:rFonts w:ascii="黑体"/>
        </w:rPr>
        <w:fldChar w:fldCharType="begin">
          <w:ffData>
            <w:name w:val="FY"/>
            <w:enabled/>
            <w:calcOnExit w:val="0"/>
            <w:textInput>
              <w:default w:val="XXXX"/>
              <w:maxLength w:val="4"/>
            </w:textInput>
          </w:ffData>
        </w:fldChar>
      </w:r>
      <w:bookmarkStart w:id="20" w:name="FY"/>
      <w:r>
        <w:rPr>
          <w:rFonts w:ascii="黑体"/>
        </w:rPr>
        <w:instrText xml:space="preserve"> FORMTEXT </w:instrText>
      </w:r>
      <w:r>
        <w:rPr>
          <w:rFonts w:ascii="黑体"/>
        </w:rPr>
        <w:fldChar w:fldCharType="separate"/>
      </w:r>
      <w:r>
        <w:rPr>
          <w:rFonts w:ascii="黑体"/>
        </w:rPr>
        <w:t>XXXX</w:t>
      </w:r>
      <w:r>
        <w:rPr>
          <w:rFonts w:ascii="黑体"/>
        </w:rPr>
        <w:fldChar w:fldCharType="end"/>
      </w:r>
      <w:bookmarkEnd w:id="20"/>
      <w:r>
        <w:t xml:space="preserve"> </w:t>
      </w:r>
      <w:r>
        <w:rPr>
          <w:rFonts w:ascii="黑体"/>
        </w:rPr>
        <w:t>-</w:t>
      </w:r>
      <w:r>
        <w:t xml:space="preserve"> </w:t>
      </w:r>
      <w:r>
        <w:rPr>
          <w:rFonts w:ascii="黑体"/>
        </w:rPr>
        <w:fldChar w:fldCharType="begin">
          <w:ffData>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21"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21"/>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e0wwb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t+w5kDSw1/+v7j6ecv&#10;VhdxxoANxdy7TSSp8g7DJmamhy7a/CcO7FAEPZ4FVYfEBB3e1sTqLWktnn3V5WKImD4qb1k2Wm60&#10;y1yhgf0nTJSMQp9D8rFxbGz5+5sFFSq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3tMMG&#10;5gEAANwDAAAOAAAAAAAAAAEAIAAAACUBAABkcnMvZTJvRG9jLnhtbFBLBQYAAAAABgAGAFkBAAB9&#10;BQAAAAA=&#10;">
                <v:fill on="f" focussize="0,0"/>
                <v:stroke color="#000000" joinstyle="round"/>
                <v:imagedata o:title=""/>
                <o:lock v:ext="edit" aspectratio="f"/>
                <w10:anchorlock/>
              </v:line>
            </w:pict>
          </mc:Fallback>
        </mc:AlternateContent>
      </w:r>
    </w:p>
    <w:p w14:paraId="468FC25F">
      <w:pPr>
        <w:pStyle w:val="137"/>
        <w:spacing w:line="240" w:lineRule="atLeast"/>
      </w:pPr>
      <w:r>
        <w:rPr>
          <w:rFonts w:ascii="黑体"/>
        </w:rPr>
        <w:fldChar w:fldCharType="begin">
          <w:ffData>
            <w:name w:val="SY"/>
            <w:enabled/>
            <w:calcOnExit w:val="0"/>
            <w:textInput>
              <w:default w:val="XXXX"/>
              <w:maxLength w:val="4"/>
            </w:textInput>
          </w:ffData>
        </w:fldChar>
      </w:r>
      <w:bookmarkStart w:id="22" w:name="SY"/>
      <w:r>
        <w:rPr>
          <w:rFonts w:ascii="黑体"/>
        </w:rPr>
        <w:instrText xml:space="preserve"> FORMTEXT </w:instrText>
      </w:r>
      <w:r>
        <w:rPr>
          <w:rFonts w:ascii="黑体"/>
        </w:rPr>
        <w:fldChar w:fldCharType="separate"/>
      </w:r>
      <w:r>
        <w:rPr>
          <w:rFonts w:ascii="黑体"/>
        </w:rPr>
        <w:t>XXXX</w:t>
      </w:r>
      <w:r>
        <w:rPr>
          <w:rFonts w:ascii="黑体"/>
        </w:rPr>
        <w:fldChar w:fldCharType="end"/>
      </w:r>
      <w:bookmarkEnd w:id="22"/>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23"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23"/>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24"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24"/>
      <w:r>
        <w:rPr>
          <w:rFonts w:hint="eastAsia"/>
        </w:rPr>
        <w:t>实施</w:t>
      </w:r>
    </w:p>
    <w:p w14:paraId="51FAC4D8">
      <w:pPr>
        <w:pStyle w:val="117"/>
        <w:spacing w:before="156" w:beforeLines="50" w:after="156" w:afterLines="50"/>
        <w:outlineLvl w:val="0"/>
      </w:pPr>
      <w:bookmarkStart w:id="25" w:name="fm"/>
      <w:bookmarkStart w:id="26" w:name="_Toc32653"/>
      <w:bookmarkStart w:id="27" w:name="_Toc9695"/>
      <w:bookmarkStart w:id="28" w:name="_Toc32389"/>
      <w:bookmarkStart w:id="29" w:name="_Toc5687"/>
      <w:bookmarkStart w:id="30" w:name="_Toc15313"/>
      <w:bookmarkStart w:id="31" w:name="_Toc26788"/>
      <w:bookmarkStart w:id="32" w:name="_Toc18523"/>
      <w:bookmarkStart w:id="33" w:name="_Toc25844"/>
      <w:r>
        <w:fldChar w:fldCharType="begin">
          <w:ffData>
            <w:name w:val="fm"/>
            <w:enabled/>
            <w:calcOnExit w:val="0"/>
            <w:textInput/>
          </w:ffData>
        </w:fldChar>
      </w:r>
      <w:r>
        <w:instrText xml:space="preserve"> FORMTEXT </w:instrText>
      </w:r>
      <w:r>
        <w:fldChar w:fldCharType="separate"/>
      </w:r>
      <w:r>
        <w:rPr>
          <w:rFonts w:hint="eastAsia"/>
        </w:rPr>
        <w:t>江西省市场监督管理局</w:t>
      </w:r>
      <w:r>
        <w:fldChar w:fldCharType="end"/>
      </w:r>
      <w:bookmarkEnd w:id="25"/>
      <w:r>
        <w:rPr>
          <w:rFonts w:hAnsi="黑体"/>
        </w:rPr>
        <w:t>   </w:t>
      </w:r>
      <w:r>
        <w:rPr>
          <w:rStyle w:val="79"/>
          <w:rFonts w:hint="eastAsia"/>
        </w:rPr>
        <w:t>发布</w:t>
      </w:r>
      <w:bookmarkEnd w:id="26"/>
      <w:bookmarkEnd w:id="27"/>
      <w:bookmarkEnd w:id="28"/>
      <w:bookmarkEnd w:id="29"/>
      <w:bookmarkEnd w:id="30"/>
      <w:bookmarkEnd w:id="31"/>
      <w:bookmarkEnd w:id="32"/>
      <w:bookmarkEnd w:id="33"/>
    </w:p>
    <w:tbl>
      <w:tblPr>
        <w:tblStyle w:val="33"/>
        <w:tblpPr w:leftFromText="180" w:rightFromText="180" w:vertAnchor="text" w:horzAnchor="page" w:tblpX="1796" w:tblpY="419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263EFE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48254C85">
            <w:pPr>
              <w:pStyle w:val="87"/>
              <w:framePr w:wrap="auto" w:vAnchor="margin" w:hAnchor="text" w:yAlign="inline"/>
              <w:spacing w:before="156" w:beforeLines="50" w:after="156" w:afterLines="50"/>
            </w:pPr>
            <w: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4"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BCYCO6qAQAA&#10;ZwMAAA4AAAAAAAAAAQAgAAAAJAEAAGRycy9lMm9Eb2MueG1sUEsFBgAAAAAGAAYAWQEAAEAFAAAA&#10;AA==&#10;">
                      <v:fill on="t" focussize="0,0"/>
                      <v:stroke on="f"/>
                      <v:imagedata o:title=""/>
                      <o:lock v:ext="edit" aspectratio="f"/>
                      <w10:anchorlock/>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0" b="1270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Phi+XWAAAACQEA&#10;AA8AAAAAAAAAAQAgAAAAIgAAAGRycy9kb3ducmV2LnhtbFBLAQIUABQAAAAIAIdO4kBK+s+pqgEA&#10;AGcDAAAOAAAAAAAAAAEAIAAAACUBAABkcnMvZTJvRG9jLnhtbFBLBQYAAAAABgAGAFkBAABBBQAA&#10;AAA=&#10;">
                      <v:fill on="t" focussize="0,0"/>
                      <v:stroke on="f"/>
                      <v:imagedata o:title=""/>
                      <o:lock v:ext="edit" aspectratio="f"/>
                    </v:rect>
                  </w:pict>
                </mc:Fallback>
              </mc:AlternateContent>
            </w:r>
          </w:p>
        </w:tc>
      </w:tr>
      <w:tr w14:paraId="20644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07B07455">
            <w:pPr>
              <w:pStyle w:val="88"/>
              <w:framePr w:wrap="auto" w:vAnchor="margin" w:hAnchor="text" w:yAlign="inline"/>
              <w:spacing w:before="156" w:beforeLines="50" w:after="156" w:afterLines="50"/>
            </w:pPr>
          </w:p>
        </w:tc>
      </w:tr>
    </w:tbl>
    <w:p w14:paraId="2143C833">
      <w:pPr>
        <w:pStyle w:val="24"/>
        <w:spacing w:before="156" w:beforeLines="50" w:after="156" w:afterLines="50"/>
        <w:sectPr>
          <w:pgSz w:w="11906" w:h="16838"/>
          <w:pgMar w:top="567" w:right="850" w:bottom="1134" w:left="1418" w:header="0" w:footer="0" w:gutter="0"/>
          <w:pgNumType w:fmt="upperRoman" w:start="1"/>
          <w:cols w:space="720" w:num="1"/>
          <w:formProt w:val="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AEO&#10;p5LnAQAA3AMAAA4AAAAAAAAAAQAgAAAAJgEAAGRycy9lMm9Eb2MueG1sUEsFBgAAAAAGAAYAWQEA&#10;AH8FAAAAAA==&#10;">
                <v:fill on="f" focussize="0,0"/>
                <v:stroke color="#000000" joinstyle="round"/>
                <v:imagedata o:title=""/>
                <o:lock v:ext="edit" aspectratio="f"/>
              </v:line>
            </w:pict>
          </mc:Fallback>
        </mc:AlternateContent>
      </w:r>
    </w:p>
    <w:p w14:paraId="6699E6E7">
      <w:pPr>
        <w:pStyle w:val="56"/>
        <w:bidi w:val="0"/>
        <w:rPr>
          <w:rFonts w:hint="eastAsia"/>
          <w:lang w:eastAsia="zh-CN"/>
        </w:rPr>
      </w:pPr>
      <w:bookmarkStart w:id="34" w:name="_Toc30512"/>
      <w:bookmarkStart w:id="35" w:name="_Toc11723"/>
      <w:r>
        <w:rPr>
          <w:rFonts w:hint="eastAsia"/>
          <w:lang w:eastAsia="zh-CN"/>
        </w:rPr>
        <w:t>目</w:t>
      </w:r>
      <w:bookmarkStart w:id="36" w:name="BKML"/>
      <w:r>
        <w:rPr>
          <w:rFonts w:hint="eastAsia"/>
          <w:lang w:eastAsia="zh-CN"/>
        </w:rPr>
        <w:t>  次</w:t>
      </w:r>
      <w:bookmarkEnd w:id="36"/>
    </w:p>
    <w:p w14:paraId="24C8506D">
      <w:pPr>
        <w:pStyle w:val="20"/>
        <w:tabs>
          <w:tab w:val="right" w:leader="dot" w:pos="9354"/>
          <w:tab w:val="clear" w:pos="9242"/>
        </w:tabs>
      </w:pPr>
      <w:r>
        <w:rPr>
          <w:rFonts w:hint="eastAsia"/>
          <w:lang w:eastAsia="zh-CN"/>
        </w:rPr>
        <w:fldChar w:fldCharType="begin" w:fldLock="1"/>
      </w:r>
      <w:r>
        <w:rPr>
          <w:rFonts w:hint="eastAsia"/>
          <w:lang w:eastAsia="zh-CN"/>
        </w:rPr>
        <w:instrText xml:space="preserve"> TOC \h \z \t"前言、引言标题,1,参考文献、索引标题,1,章标题,1,参考文献,1,附录标识,1" \* MERGEFORMAT </w:instrText>
      </w:r>
      <w:r>
        <w:rPr>
          <w:rFonts w:hint="eastAsia"/>
          <w:lang w:eastAsia="zh-CN"/>
        </w:rPr>
        <w:fldChar w:fldCharType="separate"/>
      </w:r>
      <w:r>
        <w:rPr>
          <w:rFonts w:hint="eastAsia"/>
          <w:lang w:eastAsia="zh-CN"/>
        </w:rPr>
        <w:fldChar w:fldCharType="begin"/>
      </w:r>
      <w:r>
        <w:rPr>
          <w:rFonts w:hint="eastAsia"/>
          <w:lang w:eastAsia="zh-CN"/>
        </w:rPr>
        <w:instrText xml:space="preserve"> HYPERLINK \l _Toc30089 </w:instrText>
      </w:r>
      <w:r>
        <w:rPr>
          <w:rFonts w:hint="eastAsia"/>
          <w:lang w:eastAsia="zh-CN"/>
        </w:rPr>
        <w:fldChar w:fldCharType="separate"/>
      </w:r>
      <w:r>
        <w:rPr>
          <w:rFonts w:hint="eastAsia"/>
        </w:rPr>
        <w:t>前</w:t>
      </w:r>
      <w:r>
        <w:rPr>
          <w:rFonts w:hAnsi="黑体"/>
        </w:rPr>
        <w:t>  </w:t>
      </w:r>
      <w:r>
        <w:rPr>
          <w:rFonts w:hint="eastAsia"/>
        </w:rPr>
        <w:t>言</w:t>
      </w:r>
      <w:r>
        <w:tab/>
      </w:r>
      <w:r>
        <w:fldChar w:fldCharType="begin"/>
      </w:r>
      <w:r>
        <w:instrText xml:space="preserve"> PAGEREF _Toc30089 \h </w:instrText>
      </w:r>
      <w:r>
        <w:fldChar w:fldCharType="separate"/>
      </w:r>
      <w:r>
        <w:t>II</w:t>
      </w:r>
      <w:r>
        <w:fldChar w:fldCharType="end"/>
      </w:r>
      <w:r>
        <w:rPr>
          <w:rFonts w:hint="eastAsia"/>
          <w:lang w:eastAsia="zh-CN"/>
        </w:rPr>
        <w:fldChar w:fldCharType="end"/>
      </w:r>
    </w:p>
    <w:p w14:paraId="193A5999">
      <w:pPr>
        <w:pStyle w:val="20"/>
        <w:tabs>
          <w:tab w:val="right" w:leader="dot" w:pos="9354"/>
          <w:tab w:val="clear" w:pos="9242"/>
        </w:tabs>
      </w:pPr>
      <w:r>
        <w:rPr>
          <w:rFonts w:hint="eastAsia"/>
          <w:lang w:eastAsia="zh-CN"/>
        </w:rPr>
        <w:fldChar w:fldCharType="begin"/>
      </w:r>
      <w:r>
        <w:rPr>
          <w:rFonts w:hint="eastAsia"/>
          <w:lang w:eastAsia="zh-CN"/>
        </w:rPr>
        <w:instrText xml:space="preserve"> HYPERLINK \l _Toc15758 </w:instrText>
      </w:r>
      <w:r>
        <w:rPr>
          <w:rFonts w:hint="eastAsia"/>
          <w:lang w:eastAsia="zh-CN"/>
        </w:rPr>
        <w:fldChar w:fldCharType="separate"/>
      </w:r>
      <w:r>
        <w:rPr>
          <w:rFonts w:hint="eastAsia" w:ascii="黑体" w:hAnsi="Times New Roman" w:eastAsia="黑体"/>
          <w:i w:val="0"/>
          <w:szCs w:val="21"/>
        </w:rPr>
        <w:t>1</w:t>
      </w:r>
      <w:r>
        <w:rPr>
          <w:rFonts w:hint="eastAsia" w:ascii="黑体" w:eastAsia="黑体"/>
          <w:i w:val="0"/>
          <w:szCs w:val="21"/>
          <w:lang w:eastAsia="zh-CN"/>
        </w:rPr>
        <w:t>　</w:t>
      </w:r>
      <w:r>
        <w:rPr>
          <w:rFonts w:hint="eastAsia"/>
        </w:rPr>
        <w:t>范围</w:t>
      </w:r>
      <w:r>
        <w:tab/>
      </w:r>
      <w:r>
        <w:fldChar w:fldCharType="begin"/>
      </w:r>
      <w:r>
        <w:instrText xml:space="preserve"> PAGEREF _Toc15758 \h </w:instrText>
      </w:r>
      <w:r>
        <w:fldChar w:fldCharType="separate"/>
      </w:r>
      <w:r>
        <w:t>1</w:t>
      </w:r>
      <w:r>
        <w:fldChar w:fldCharType="end"/>
      </w:r>
      <w:r>
        <w:rPr>
          <w:rFonts w:hint="eastAsia"/>
          <w:lang w:eastAsia="zh-CN"/>
        </w:rPr>
        <w:fldChar w:fldCharType="end"/>
      </w:r>
    </w:p>
    <w:p w14:paraId="0B6A2014">
      <w:pPr>
        <w:pStyle w:val="20"/>
        <w:tabs>
          <w:tab w:val="right" w:leader="dot" w:pos="9354"/>
          <w:tab w:val="clear" w:pos="9242"/>
        </w:tabs>
      </w:pPr>
      <w:r>
        <w:rPr>
          <w:rFonts w:hint="eastAsia"/>
          <w:lang w:eastAsia="zh-CN"/>
        </w:rPr>
        <w:fldChar w:fldCharType="begin"/>
      </w:r>
      <w:r>
        <w:rPr>
          <w:rFonts w:hint="eastAsia"/>
          <w:lang w:eastAsia="zh-CN"/>
        </w:rPr>
        <w:instrText xml:space="preserve"> HYPERLINK \l _Toc30534 </w:instrText>
      </w:r>
      <w:r>
        <w:rPr>
          <w:rFonts w:hint="eastAsia"/>
          <w:lang w:eastAsia="zh-CN"/>
        </w:rPr>
        <w:fldChar w:fldCharType="separate"/>
      </w:r>
      <w:r>
        <w:rPr>
          <w:rFonts w:hint="eastAsia" w:ascii="黑体" w:hAnsi="Times New Roman" w:eastAsia="黑体"/>
          <w:i w:val="0"/>
          <w:szCs w:val="21"/>
        </w:rPr>
        <w:t>2</w:t>
      </w:r>
      <w:r>
        <w:rPr>
          <w:rFonts w:hint="eastAsia" w:ascii="黑体" w:eastAsia="黑体"/>
          <w:i w:val="0"/>
          <w:szCs w:val="21"/>
          <w:lang w:eastAsia="zh-CN"/>
        </w:rPr>
        <w:t>　</w:t>
      </w:r>
      <w:r>
        <w:rPr>
          <w:rFonts w:hint="eastAsia"/>
        </w:rPr>
        <w:t>规范性引用文件</w:t>
      </w:r>
      <w:r>
        <w:tab/>
      </w:r>
      <w:r>
        <w:fldChar w:fldCharType="begin"/>
      </w:r>
      <w:r>
        <w:instrText xml:space="preserve"> PAGEREF _Toc30534 \h </w:instrText>
      </w:r>
      <w:r>
        <w:fldChar w:fldCharType="separate"/>
      </w:r>
      <w:r>
        <w:t>1</w:t>
      </w:r>
      <w:r>
        <w:fldChar w:fldCharType="end"/>
      </w:r>
      <w:r>
        <w:rPr>
          <w:rFonts w:hint="eastAsia"/>
          <w:lang w:eastAsia="zh-CN"/>
        </w:rPr>
        <w:fldChar w:fldCharType="end"/>
      </w:r>
    </w:p>
    <w:p w14:paraId="139B6A61">
      <w:pPr>
        <w:pStyle w:val="20"/>
        <w:tabs>
          <w:tab w:val="right" w:leader="dot" w:pos="9354"/>
          <w:tab w:val="clear" w:pos="9242"/>
        </w:tabs>
      </w:pPr>
      <w:r>
        <w:rPr>
          <w:rFonts w:hint="eastAsia"/>
          <w:lang w:eastAsia="zh-CN"/>
        </w:rPr>
        <w:fldChar w:fldCharType="begin"/>
      </w:r>
      <w:r>
        <w:rPr>
          <w:rFonts w:hint="eastAsia"/>
          <w:lang w:eastAsia="zh-CN"/>
        </w:rPr>
        <w:instrText xml:space="preserve"> HYPERLINK \l _Toc20855 </w:instrText>
      </w:r>
      <w:r>
        <w:rPr>
          <w:rFonts w:hint="eastAsia"/>
          <w:lang w:eastAsia="zh-CN"/>
        </w:rPr>
        <w:fldChar w:fldCharType="separate"/>
      </w:r>
      <w:r>
        <w:rPr>
          <w:rFonts w:hint="eastAsia" w:ascii="黑体" w:hAnsi="Times New Roman" w:eastAsia="黑体"/>
          <w:i w:val="0"/>
          <w:szCs w:val="21"/>
        </w:rPr>
        <w:t>3</w:t>
      </w:r>
      <w:r>
        <w:rPr>
          <w:rFonts w:hint="eastAsia" w:ascii="黑体" w:eastAsia="黑体"/>
          <w:i w:val="0"/>
          <w:szCs w:val="21"/>
          <w:lang w:eastAsia="zh-CN"/>
        </w:rPr>
        <w:t>　</w:t>
      </w:r>
      <w:r>
        <w:rPr>
          <w:rFonts w:hint="eastAsia"/>
        </w:rPr>
        <w:t>术语和定义</w:t>
      </w:r>
      <w:r>
        <w:tab/>
      </w:r>
      <w:r>
        <w:fldChar w:fldCharType="begin"/>
      </w:r>
      <w:r>
        <w:instrText xml:space="preserve"> PAGEREF _Toc20855 \h </w:instrText>
      </w:r>
      <w:r>
        <w:fldChar w:fldCharType="separate"/>
      </w:r>
      <w:r>
        <w:t>1</w:t>
      </w:r>
      <w:r>
        <w:fldChar w:fldCharType="end"/>
      </w:r>
      <w:r>
        <w:rPr>
          <w:rFonts w:hint="eastAsia"/>
          <w:lang w:eastAsia="zh-CN"/>
        </w:rPr>
        <w:fldChar w:fldCharType="end"/>
      </w:r>
    </w:p>
    <w:p w14:paraId="4004EF99">
      <w:pPr>
        <w:pStyle w:val="20"/>
        <w:tabs>
          <w:tab w:val="right" w:leader="dot" w:pos="9354"/>
          <w:tab w:val="clear" w:pos="9242"/>
        </w:tabs>
      </w:pPr>
      <w:r>
        <w:rPr>
          <w:rFonts w:hint="eastAsia"/>
          <w:lang w:eastAsia="zh-CN"/>
        </w:rPr>
        <w:fldChar w:fldCharType="begin"/>
      </w:r>
      <w:r>
        <w:rPr>
          <w:rFonts w:hint="eastAsia"/>
          <w:lang w:eastAsia="zh-CN"/>
        </w:rPr>
        <w:instrText xml:space="preserve"> HYPERLINK \l _Toc14023 </w:instrText>
      </w:r>
      <w:r>
        <w:rPr>
          <w:rFonts w:hint="eastAsia"/>
          <w:lang w:eastAsia="zh-CN"/>
        </w:rPr>
        <w:fldChar w:fldCharType="separate"/>
      </w:r>
      <w:r>
        <w:rPr>
          <w:rFonts w:hint="eastAsia" w:ascii="黑体" w:hAnsi="Times New Roman" w:eastAsia="黑体"/>
          <w:i w:val="0"/>
          <w:szCs w:val="21"/>
        </w:rPr>
        <w:t>4</w:t>
      </w:r>
      <w:r>
        <w:rPr>
          <w:rFonts w:hint="eastAsia" w:ascii="黑体" w:eastAsia="黑体"/>
          <w:i w:val="0"/>
          <w:szCs w:val="21"/>
          <w:lang w:eastAsia="zh-CN"/>
        </w:rPr>
        <w:t>　</w:t>
      </w:r>
      <w:bookmarkStart w:id="37" w:name="OLE_LINK1"/>
      <w:r>
        <w:rPr>
          <w:rFonts w:hint="eastAsia"/>
        </w:rPr>
        <w:t>地理标志产品产地范围</w:t>
      </w:r>
      <w:bookmarkEnd w:id="37"/>
      <w:r>
        <w:tab/>
      </w:r>
      <w:r>
        <w:fldChar w:fldCharType="begin"/>
      </w:r>
      <w:r>
        <w:instrText xml:space="preserve"> PAGEREF _Toc14023 \h </w:instrText>
      </w:r>
      <w:r>
        <w:fldChar w:fldCharType="separate"/>
      </w:r>
      <w:r>
        <w:t>2</w:t>
      </w:r>
      <w:r>
        <w:fldChar w:fldCharType="end"/>
      </w:r>
      <w:r>
        <w:rPr>
          <w:rFonts w:hint="eastAsia"/>
          <w:lang w:eastAsia="zh-CN"/>
        </w:rPr>
        <w:fldChar w:fldCharType="end"/>
      </w:r>
    </w:p>
    <w:p w14:paraId="675CCD59">
      <w:pPr>
        <w:pStyle w:val="20"/>
        <w:tabs>
          <w:tab w:val="right" w:leader="dot" w:pos="9354"/>
          <w:tab w:val="clear" w:pos="9242"/>
        </w:tabs>
      </w:pPr>
      <w:r>
        <w:rPr>
          <w:rFonts w:hint="eastAsia"/>
          <w:lang w:eastAsia="zh-CN"/>
        </w:rPr>
        <w:fldChar w:fldCharType="begin"/>
      </w:r>
      <w:r>
        <w:rPr>
          <w:rFonts w:hint="eastAsia"/>
          <w:lang w:eastAsia="zh-CN"/>
        </w:rPr>
        <w:instrText xml:space="preserve"> HYPERLINK \l _Toc19808 </w:instrText>
      </w:r>
      <w:r>
        <w:rPr>
          <w:rFonts w:hint="eastAsia"/>
          <w:lang w:eastAsia="zh-CN"/>
        </w:rPr>
        <w:fldChar w:fldCharType="separate"/>
      </w:r>
      <w:r>
        <w:rPr>
          <w:rFonts w:hint="eastAsia" w:ascii="黑体" w:hAnsi="Times New Roman" w:eastAsia="黑体"/>
          <w:i w:val="0"/>
          <w:szCs w:val="21"/>
        </w:rPr>
        <w:t>5</w:t>
      </w:r>
      <w:r>
        <w:rPr>
          <w:rFonts w:hint="eastAsia" w:ascii="黑体" w:eastAsia="黑体"/>
          <w:i w:val="0"/>
          <w:szCs w:val="21"/>
          <w:lang w:eastAsia="zh-CN"/>
        </w:rPr>
        <w:t>　</w:t>
      </w:r>
      <w:r>
        <w:rPr>
          <w:rFonts w:hint="eastAsia"/>
        </w:rPr>
        <w:t>技术要求</w:t>
      </w:r>
      <w:r>
        <w:tab/>
      </w:r>
      <w:r>
        <w:fldChar w:fldCharType="begin"/>
      </w:r>
      <w:r>
        <w:instrText xml:space="preserve"> PAGEREF _Toc19808 \h </w:instrText>
      </w:r>
      <w:r>
        <w:fldChar w:fldCharType="separate"/>
      </w:r>
      <w:r>
        <w:t>2</w:t>
      </w:r>
      <w:r>
        <w:fldChar w:fldCharType="end"/>
      </w:r>
      <w:r>
        <w:rPr>
          <w:rFonts w:hint="eastAsia"/>
          <w:lang w:eastAsia="zh-CN"/>
        </w:rPr>
        <w:fldChar w:fldCharType="end"/>
      </w:r>
    </w:p>
    <w:p w14:paraId="131C75C0">
      <w:pPr>
        <w:pStyle w:val="20"/>
        <w:tabs>
          <w:tab w:val="right" w:leader="dot" w:pos="9354"/>
          <w:tab w:val="clear" w:pos="9242"/>
        </w:tabs>
      </w:pPr>
      <w:r>
        <w:rPr>
          <w:rFonts w:hint="eastAsia"/>
          <w:lang w:eastAsia="zh-CN"/>
        </w:rPr>
        <w:fldChar w:fldCharType="begin"/>
      </w:r>
      <w:r>
        <w:rPr>
          <w:rFonts w:hint="eastAsia"/>
          <w:lang w:eastAsia="zh-CN"/>
        </w:rPr>
        <w:instrText xml:space="preserve"> HYPERLINK \l _Toc3949 </w:instrText>
      </w:r>
      <w:r>
        <w:rPr>
          <w:rFonts w:hint="eastAsia"/>
          <w:lang w:eastAsia="zh-CN"/>
        </w:rPr>
        <w:fldChar w:fldCharType="separate"/>
      </w:r>
      <w:r>
        <w:rPr>
          <w:rFonts w:hint="eastAsia" w:ascii="黑体" w:hAnsi="Times New Roman" w:eastAsia="黑体"/>
          <w:i w:val="0"/>
          <w:szCs w:val="21"/>
        </w:rPr>
        <w:t>6</w:t>
      </w:r>
      <w:r>
        <w:rPr>
          <w:rFonts w:hint="eastAsia" w:ascii="黑体" w:eastAsia="黑体"/>
          <w:i w:val="0"/>
          <w:szCs w:val="21"/>
          <w:lang w:eastAsia="zh-CN"/>
        </w:rPr>
        <w:t>　</w:t>
      </w:r>
      <w:r>
        <w:rPr>
          <w:rFonts w:hint="eastAsia"/>
        </w:rPr>
        <w:t>质量要求</w:t>
      </w:r>
      <w:r>
        <w:tab/>
      </w:r>
      <w:r>
        <w:fldChar w:fldCharType="begin"/>
      </w:r>
      <w:r>
        <w:instrText xml:space="preserve"> PAGEREF _Toc3949 \h </w:instrText>
      </w:r>
      <w:r>
        <w:fldChar w:fldCharType="separate"/>
      </w:r>
      <w:r>
        <w:t>3</w:t>
      </w:r>
      <w:r>
        <w:fldChar w:fldCharType="end"/>
      </w:r>
      <w:r>
        <w:rPr>
          <w:rFonts w:hint="eastAsia"/>
          <w:lang w:eastAsia="zh-CN"/>
        </w:rPr>
        <w:fldChar w:fldCharType="end"/>
      </w:r>
    </w:p>
    <w:p w14:paraId="5F316AE7">
      <w:pPr>
        <w:pStyle w:val="20"/>
        <w:tabs>
          <w:tab w:val="right" w:leader="dot" w:pos="9354"/>
          <w:tab w:val="clear" w:pos="9242"/>
        </w:tabs>
      </w:pPr>
      <w:r>
        <w:rPr>
          <w:rFonts w:hint="eastAsia"/>
          <w:lang w:eastAsia="zh-CN"/>
        </w:rPr>
        <w:fldChar w:fldCharType="begin"/>
      </w:r>
      <w:r>
        <w:rPr>
          <w:rFonts w:hint="eastAsia"/>
          <w:lang w:eastAsia="zh-CN"/>
        </w:rPr>
        <w:instrText xml:space="preserve"> HYPERLINK \l _Toc27499 </w:instrText>
      </w:r>
      <w:r>
        <w:rPr>
          <w:rFonts w:hint="eastAsia"/>
          <w:lang w:eastAsia="zh-CN"/>
        </w:rPr>
        <w:fldChar w:fldCharType="separate"/>
      </w:r>
      <w:r>
        <w:rPr>
          <w:rFonts w:hint="eastAsia" w:ascii="黑体" w:hAnsi="Times New Roman" w:eastAsia="黑体"/>
          <w:i w:val="0"/>
          <w:szCs w:val="21"/>
          <w:lang w:val="en-US" w:eastAsia="zh-CN"/>
        </w:rPr>
        <w:t>7</w:t>
      </w:r>
      <w:r>
        <w:rPr>
          <w:rFonts w:hint="eastAsia" w:ascii="黑体" w:eastAsia="黑体"/>
          <w:i w:val="0"/>
          <w:szCs w:val="21"/>
          <w:lang w:val="en-US" w:eastAsia="zh-CN"/>
        </w:rPr>
        <w:t>　</w:t>
      </w:r>
      <w:r>
        <w:rPr>
          <w:rFonts w:hint="eastAsia"/>
          <w:lang w:val="en-US" w:eastAsia="zh-CN"/>
        </w:rPr>
        <w:t>检验规则</w:t>
      </w:r>
      <w:r>
        <w:tab/>
      </w:r>
      <w:r>
        <w:fldChar w:fldCharType="begin"/>
      </w:r>
      <w:r>
        <w:instrText xml:space="preserve"> PAGEREF _Toc27499 \h </w:instrText>
      </w:r>
      <w:r>
        <w:fldChar w:fldCharType="separate"/>
      </w:r>
      <w:r>
        <w:t>4</w:t>
      </w:r>
      <w:r>
        <w:fldChar w:fldCharType="end"/>
      </w:r>
      <w:r>
        <w:rPr>
          <w:rFonts w:hint="eastAsia"/>
          <w:lang w:eastAsia="zh-CN"/>
        </w:rPr>
        <w:fldChar w:fldCharType="end"/>
      </w:r>
    </w:p>
    <w:p w14:paraId="74A42D38">
      <w:pPr>
        <w:pStyle w:val="20"/>
        <w:tabs>
          <w:tab w:val="right" w:leader="dot" w:pos="9354"/>
          <w:tab w:val="clear" w:pos="9242"/>
        </w:tabs>
      </w:pPr>
      <w:r>
        <w:rPr>
          <w:rFonts w:hint="eastAsia"/>
          <w:lang w:eastAsia="zh-CN"/>
        </w:rPr>
        <w:fldChar w:fldCharType="begin"/>
      </w:r>
      <w:r>
        <w:rPr>
          <w:rFonts w:hint="eastAsia"/>
          <w:lang w:eastAsia="zh-CN"/>
        </w:rPr>
        <w:instrText xml:space="preserve"> HYPERLINK \l _Toc5620 </w:instrText>
      </w:r>
      <w:r>
        <w:rPr>
          <w:rFonts w:hint="eastAsia"/>
          <w:lang w:eastAsia="zh-CN"/>
        </w:rPr>
        <w:fldChar w:fldCharType="separate"/>
      </w:r>
      <w:r>
        <w:rPr>
          <w:rFonts w:hint="eastAsia" w:ascii="黑体" w:hAnsi="Times New Roman" w:eastAsia="黑体"/>
          <w:i w:val="0"/>
          <w:szCs w:val="21"/>
        </w:rPr>
        <w:t>8</w:t>
      </w:r>
      <w:r>
        <w:rPr>
          <w:rFonts w:hint="eastAsia" w:ascii="黑体" w:eastAsia="黑体"/>
          <w:i w:val="0"/>
          <w:szCs w:val="21"/>
          <w:lang w:eastAsia="zh-CN"/>
        </w:rPr>
        <w:t>　</w:t>
      </w:r>
      <w:r>
        <w:rPr>
          <w:rFonts w:hint="eastAsia"/>
        </w:rPr>
        <w:t>标签标志、包装、运输、贮存及溯源管理</w:t>
      </w:r>
      <w:r>
        <w:tab/>
      </w:r>
      <w:r>
        <w:fldChar w:fldCharType="begin"/>
      </w:r>
      <w:r>
        <w:instrText xml:space="preserve"> PAGEREF _Toc5620 \h </w:instrText>
      </w:r>
      <w:r>
        <w:fldChar w:fldCharType="separate"/>
      </w:r>
      <w:r>
        <w:t>5</w:t>
      </w:r>
      <w:r>
        <w:fldChar w:fldCharType="end"/>
      </w:r>
      <w:r>
        <w:rPr>
          <w:rFonts w:hint="eastAsia"/>
          <w:lang w:eastAsia="zh-CN"/>
        </w:rPr>
        <w:fldChar w:fldCharType="end"/>
      </w:r>
    </w:p>
    <w:p w14:paraId="5B31E9BE">
      <w:pPr>
        <w:pStyle w:val="20"/>
        <w:tabs>
          <w:tab w:val="right" w:leader="dot" w:pos="9354"/>
          <w:tab w:val="clear" w:pos="9242"/>
        </w:tabs>
        <w:rPr>
          <w:spacing w:val="0"/>
        </w:rPr>
      </w:pPr>
      <w:r>
        <w:rPr>
          <w:rFonts w:hint="eastAsia"/>
          <w:spacing w:val="0"/>
          <w:lang w:eastAsia="zh-CN"/>
        </w:rPr>
        <w:fldChar w:fldCharType="begin"/>
      </w:r>
      <w:r>
        <w:rPr>
          <w:rFonts w:hint="eastAsia"/>
          <w:spacing w:val="0"/>
          <w:lang w:eastAsia="zh-CN"/>
        </w:rPr>
        <w:instrText xml:space="preserve"> HYPERLINK \l _Toc11265 </w:instrText>
      </w:r>
      <w:r>
        <w:rPr>
          <w:rFonts w:hint="eastAsia"/>
          <w:spacing w:val="0"/>
          <w:lang w:eastAsia="zh-CN"/>
        </w:rPr>
        <w:fldChar w:fldCharType="separate"/>
      </w:r>
      <w:r>
        <w:rPr>
          <w:rFonts w:hint="eastAsia" w:ascii="黑体" w:hAnsi="Times New Roman" w:eastAsia="黑体"/>
          <w:i w:val="0"/>
          <w:spacing w:val="0"/>
          <w:w w:val="100"/>
        </w:rPr>
        <w:t>附录A</w:t>
      </w:r>
      <w:r>
        <w:rPr>
          <w:rFonts w:hint="eastAsia" w:eastAsia="黑体"/>
          <w:spacing w:val="0"/>
          <w:lang w:eastAsia="zh-CN"/>
        </w:rPr>
        <w:t>　</w:t>
      </w:r>
      <w:r>
        <w:rPr>
          <w:rFonts w:hint="eastAsia"/>
          <w:spacing w:val="0"/>
          <w:lang w:eastAsia="zh-CN"/>
        </w:rPr>
        <w:t xml:space="preserve">（规范性） </w:t>
      </w:r>
      <w:r>
        <w:rPr>
          <w:rFonts w:hint="eastAsia"/>
          <w:spacing w:val="0"/>
          <w:lang w:val="en-US" w:eastAsia="zh-CN"/>
        </w:rPr>
        <w:t>萍乡两头乌猪</w:t>
      </w:r>
      <w:r>
        <w:rPr>
          <w:rFonts w:hint="eastAsia"/>
          <w:spacing w:val="0"/>
          <w:lang w:eastAsia="zh-CN"/>
        </w:rPr>
        <w:t>地理标志产品产地范围</w:t>
      </w:r>
      <w:r>
        <w:rPr>
          <w:spacing w:val="0"/>
        </w:rPr>
        <w:tab/>
      </w:r>
      <w:r>
        <w:rPr>
          <w:spacing w:val="0"/>
        </w:rPr>
        <w:fldChar w:fldCharType="begin"/>
      </w:r>
      <w:r>
        <w:rPr>
          <w:spacing w:val="0"/>
        </w:rPr>
        <w:instrText xml:space="preserve"> PAGEREF _Toc11265 \h </w:instrText>
      </w:r>
      <w:r>
        <w:rPr>
          <w:spacing w:val="0"/>
        </w:rPr>
        <w:fldChar w:fldCharType="separate"/>
      </w:r>
      <w:r>
        <w:rPr>
          <w:spacing w:val="0"/>
        </w:rPr>
        <w:t>6</w:t>
      </w:r>
      <w:r>
        <w:rPr>
          <w:spacing w:val="0"/>
        </w:rPr>
        <w:fldChar w:fldCharType="end"/>
      </w:r>
      <w:r>
        <w:rPr>
          <w:rFonts w:hint="eastAsia"/>
          <w:spacing w:val="0"/>
          <w:lang w:eastAsia="zh-CN"/>
        </w:rPr>
        <w:fldChar w:fldCharType="end"/>
      </w:r>
    </w:p>
    <w:p w14:paraId="65248777">
      <w:pPr>
        <w:pStyle w:val="20"/>
        <w:tabs>
          <w:tab w:val="right" w:leader="dot" w:pos="9354"/>
          <w:tab w:val="clear" w:pos="9242"/>
        </w:tabs>
        <w:rPr>
          <w:spacing w:val="0"/>
        </w:rPr>
      </w:pPr>
      <w:r>
        <w:rPr>
          <w:rFonts w:hint="eastAsia"/>
          <w:spacing w:val="0"/>
          <w:lang w:eastAsia="zh-CN"/>
        </w:rPr>
        <w:fldChar w:fldCharType="begin"/>
      </w:r>
      <w:r>
        <w:rPr>
          <w:rFonts w:hint="eastAsia"/>
          <w:spacing w:val="0"/>
          <w:lang w:eastAsia="zh-CN"/>
        </w:rPr>
        <w:instrText xml:space="preserve"> HYPERLINK \l _Toc30033 </w:instrText>
      </w:r>
      <w:r>
        <w:rPr>
          <w:rFonts w:hint="eastAsia"/>
          <w:spacing w:val="0"/>
          <w:lang w:eastAsia="zh-CN"/>
        </w:rPr>
        <w:fldChar w:fldCharType="separate"/>
      </w:r>
      <w:r>
        <w:rPr>
          <w:rFonts w:hint="eastAsia"/>
          <w:spacing w:val="0"/>
          <w:lang w:eastAsia="zh-CN"/>
        </w:rPr>
        <w:t>参 考 文 献</w:t>
      </w:r>
      <w:r>
        <w:rPr>
          <w:spacing w:val="0"/>
        </w:rPr>
        <w:tab/>
      </w:r>
      <w:r>
        <w:rPr>
          <w:spacing w:val="0"/>
        </w:rPr>
        <w:fldChar w:fldCharType="begin"/>
      </w:r>
      <w:r>
        <w:rPr>
          <w:spacing w:val="0"/>
        </w:rPr>
        <w:instrText xml:space="preserve"> PAGEREF _Toc30033 \h </w:instrText>
      </w:r>
      <w:r>
        <w:rPr>
          <w:spacing w:val="0"/>
        </w:rPr>
        <w:fldChar w:fldCharType="separate"/>
      </w:r>
      <w:r>
        <w:rPr>
          <w:spacing w:val="0"/>
        </w:rPr>
        <w:t>7</w:t>
      </w:r>
      <w:r>
        <w:rPr>
          <w:spacing w:val="0"/>
        </w:rPr>
        <w:fldChar w:fldCharType="end"/>
      </w:r>
      <w:r>
        <w:rPr>
          <w:rFonts w:hint="eastAsia"/>
          <w:spacing w:val="0"/>
          <w:lang w:eastAsia="zh-CN"/>
        </w:rPr>
        <w:fldChar w:fldCharType="end"/>
      </w:r>
    </w:p>
    <w:p w14:paraId="52D12FC1">
      <w:pPr>
        <w:pStyle w:val="24"/>
        <w:rPr>
          <w:rFonts w:hint="eastAsia"/>
          <w:lang w:eastAsia="zh-CN"/>
        </w:rPr>
      </w:pPr>
      <w:r>
        <w:rPr>
          <w:rFonts w:hint="eastAsia"/>
          <w:lang w:eastAsia="zh-CN"/>
        </w:rPr>
        <w:fldChar w:fldCharType="end"/>
      </w:r>
    </w:p>
    <w:p w14:paraId="640FD712">
      <w:pPr>
        <w:pStyle w:val="118"/>
        <w:spacing w:before="156" w:beforeLines="50" w:after="156" w:afterLines="50"/>
        <w:rPr>
          <w:rFonts w:hint="eastAsia"/>
        </w:rPr>
      </w:pPr>
      <w:bookmarkStart w:id="38" w:name="_Toc30089"/>
      <w:r>
        <w:rPr>
          <w:rFonts w:hint="eastAsia"/>
        </w:rPr>
        <w:t>前</w:t>
      </w:r>
      <w:bookmarkStart w:id="39" w:name="BKQY"/>
      <w:r>
        <w:rPr>
          <w:rFonts w:hAnsi="黑体"/>
        </w:rPr>
        <w:t>  </w:t>
      </w:r>
      <w:r>
        <w:rPr>
          <w:rFonts w:hint="eastAsia"/>
        </w:rPr>
        <w:t>言</w:t>
      </w:r>
      <w:bookmarkEnd w:id="34"/>
      <w:bookmarkEnd w:id="35"/>
      <w:bookmarkEnd w:id="38"/>
      <w:bookmarkEnd w:id="39"/>
    </w:p>
    <w:p w14:paraId="3A7D0E75">
      <w:pPr>
        <w:pStyle w:val="24"/>
        <w:bidi w:val="0"/>
        <w:rPr>
          <w:rFonts w:hint="eastAsia"/>
        </w:rPr>
      </w:pPr>
      <w:r>
        <w:rPr>
          <w:rFonts w:hint="eastAsia"/>
        </w:rPr>
        <w:t>本文件</w:t>
      </w:r>
      <w:r>
        <w:rPr>
          <w:rFonts w:hint="eastAsia"/>
          <w:lang w:eastAsia="zh-CN"/>
        </w:rPr>
        <w:t>按照</w:t>
      </w:r>
      <w:r>
        <w:rPr>
          <w:rFonts w:hint="eastAsia"/>
        </w:rPr>
        <w:t>GB/T</w:t>
      </w:r>
      <w:r>
        <w:rPr>
          <w:rFonts w:hint="eastAsia"/>
          <w:lang w:val="en-US" w:eastAsia="zh-CN"/>
        </w:rPr>
        <w:t xml:space="preserve"> </w:t>
      </w:r>
      <w:r>
        <w:rPr>
          <w:rFonts w:hint="eastAsia"/>
        </w:rPr>
        <w:t>1.1</w:t>
      </w:r>
      <w:r>
        <w:rPr>
          <w:rFonts w:hint="eastAsia"/>
          <w:lang w:eastAsia="zh-CN"/>
        </w:rPr>
        <w:t>—</w:t>
      </w:r>
      <w:r>
        <w:rPr>
          <w:rFonts w:hint="eastAsia"/>
        </w:rPr>
        <w:t>2020《标准化工作导则 第1部分：标准化文件的结构和起草规则》的规定</w:t>
      </w:r>
      <w:r>
        <w:rPr>
          <w:rFonts w:hint="eastAsia"/>
          <w:lang w:eastAsia="zh-CN"/>
        </w:rPr>
        <w:t>起草</w:t>
      </w:r>
      <w:r>
        <w:rPr>
          <w:rFonts w:hint="eastAsia"/>
        </w:rPr>
        <w:t>。</w:t>
      </w:r>
    </w:p>
    <w:p w14:paraId="4155AEF3">
      <w:pPr>
        <w:pStyle w:val="24"/>
        <w:bidi w:val="0"/>
        <w:rPr>
          <w:rFonts w:hint="eastAsia"/>
        </w:rPr>
      </w:pPr>
      <w:r>
        <w:rPr>
          <w:rFonts w:hint="eastAsia"/>
        </w:rPr>
        <w:t>本文件规定了食品质量相关技术要求，食品安全相关要求见有关法律法规</w:t>
      </w:r>
      <w:r>
        <w:rPr>
          <w:rFonts w:hint="eastAsia"/>
          <w:lang w:eastAsia="zh-CN"/>
        </w:rPr>
        <w:t>、</w:t>
      </w:r>
      <w:r>
        <w:rPr>
          <w:rFonts w:hint="eastAsia"/>
        </w:rPr>
        <w:t>政策和食品安全标准等文件。</w:t>
      </w:r>
    </w:p>
    <w:p w14:paraId="14023586">
      <w:pPr>
        <w:pStyle w:val="24"/>
        <w:bidi w:val="0"/>
        <w:rPr>
          <w:rFonts w:hint="eastAsia"/>
        </w:rPr>
      </w:pPr>
      <w:r>
        <w:rPr>
          <w:rFonts w:hint="eastAsia"/>
        </w:rPr>
        <w:t>请注意本文件的某些内容可能涉及专利，本文件的发布机构不承担识别专利的责任。</w:t>
      </w:r>
    </w:p>
    <w:p w14:paraId="5DA47697">
      <w:pPr>
        <w:pStyle w:val="24"/>
        <w:bidi w:val="0"/>
        <w:rPr>
          <w:rFonts w:hint="eastAsia"/>
        </w:rPr>
      </w:pPr>
      <w:r>
        <w:rPr>
          <w:rFonts w:hint="eastAsia"/>
        </w:rPr>
        <w:t>本文件由江西省市场监督管理局提出。</w:t>
      </w:r>
    </w:p>
    <w:p w14:paraId="2B7D1BCE">
      <w:pPr>
        <w:pStyle w:val="24"/>
        <w:bidi w:val="0"/>
        <w:rPr>
          <w:rFonts w:hint="default"/>
          <w:lang w:val="en-US" w:eastAsia="zh-CN"/>
        </w:rPr>
      </w:pPr>
      <w:r>
        <w:rPr>
          <w:rFonts w:hint="eastAsia"/>
          <w:lang w:val="en-US" w:eastAsia="zh-CN"/>
        </w:rPr>
        <w:t>本文件由江西省地理标志产品标准化技术委员会</w:t>
      </w:r>
      <w:r>
        <w:rPr>
          <w:rFonts w:hint="eastAsia" w:ascii="Times New Roman" w:cs="Times New Roman"/>
          <w:lang w:eastAsia="zh-CN"/>
        </w:rPr>
        <w:t>（</w:t>
      </w:r>
      <w:r>
        <w:rPr>
          <w:rFonts w:hint="default" w:ascii="Times New Roman" w:hAnsi="Times New Roman" w:cs="Times New Roman"/>
        </w:rPr>
        <w:t>JX/TC043</w:t>
      </w:r>
      <w:r>
        <w:rPr>
          <w:rFonts w:hint="eastAsia" w:ascii="Times New Roman" w:cs="Times New Roman"/>
          <w:lang w:eastAsia="zh-CN"/>
        </w:rPr>
        <w:t>）</w:t>
      </w:r>
      <w:r>
        <w:rPr>
          <w:rFonts w:hint="eastAsia"/>
          <w:lang w:val="en-US" w:eastAsia="zh-CN"/>
        </w:rPr>
        <w:t>归口。</w:t>
      </w:r>
    </w:p>
    <w:p w14:paraId="6715180F">
      <w:pPr>
        <w:pStyle w:val="24"/>
        <w:bidi w:val="0"/>
        <w:rPr>
          <w:rFonts w:hint="eastAsia"/>
        </w:rPr>
      </w:pPr>
      <w:r>
        <w:rPr>
          <w:rFonts w:hint="eastAsia"/>
        </w:rPr>
        <w:t>本文件起草单位：</w:t>
      </w:r>
      <w:r>
        <w:rPr>
          <w:rFonts w:hint="eastAsia"/>
          <w:lang w:val="en-US" w:eastAsia="zh-CN"/>
        </w:rPr>
        <w:t>XXXX</w:t>
      </w:r>
      <w:r>
        <w:rPr>
          <w:rFonts w:hint="eastAsia"/>
        </w:rPr>
        <w:t>。</w:t>
      </w:r>
    </w:p>
    <w:p w14:paraId="6C83A0D2">
      <w:pPr>
        <w:pStyle w:val="24"/>
        <w:bidi w:val="0"/>
        <w:rPr>
          <w:rFonts w:hint="eastAsia"/>
        </w:rPr>
      </w:pPr>
      <w:r>
        <w:rPr>
          <w:rFonts w:hint="eastAsia"/>
        </w:rPr>
        <w:t>本文件主要起草人：XXXX。</w:t>
      </w:r>
    </w:p>
    <w:p w14:paraId="32730981">
      <w:pPr>
        <w:pStyle w:val="56"/>
        <w:spacing w:before="156" w:beforeLines="50" w:after="156" w:afterLines="50"/>
        <w:rPr>
          <w:rFonts w:hint="eastAsia"/>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bookmarkStart w:id="40" w:name="_Toc22744"/>
      <w:bookmarkStart w:id="41" w:name="_Toc23586"/>
      <w:bookmarkStart w:id="42" w:name="_Toc27133"/>
    </w:p>
    <w:bookmarkEnd w:id="40"/>
    <w:bookmarkEnd w:id="41"/>
    <w:bookmarkEnd w:id="42"/>
    <w:p w14:paraId="7824BEFF">
      <w:pPr>
        <w:pStyle w:val="56"/>
        <w:spacing w:before="156" w:beforeLines="50" w:after="156" w:afterLines="50"/>
      </w:pPr>
      <w:bookmarkStart w:id="43" w:name="_Toc4757"/>
      <w:bookmarkStart w:id="44" w:name="_Toc7565"/>
      <w:bookmarkStart w:id="45" w:name="_Toc28105"/>
      <w:bookmarkStart w:id="46" w:name="_Toc29396"/>
      <w:r>
        <w:rPr>
          <w:rFonts w:hint="eastAsia"/>
        </w:rPr>
        <w:t>地理标志产品</w:t>
      </w:r>
      <w:r>
        <w:rPr>
          <w:rFonts w:hint="eastAsia"/>
          <w:lang w:eastAsia="zh-CN"/>
        </w:rPr>
        <w:t>质量要求</w:t>
      </w:r>
      <w:r>
        <w:rPr>
          <w:rFonts w:hint="eastAsia"/>
        </w:rPr>
        <w:t xml:space="preserve"> </w:t>
      </w:r>
      <w:bookmarkEnd w:id="43"/>
      <w:r>
        <w:rPr>
          <w:rFonts w:hint="eastAsia"/>
          <w:lang w:val="en-US" w:eastAsia="zh-CN"/>
        </w:rPr>
        <w:t>萍乡两头乌猪</w:t>
      </w:r>
      <w:bookmarkEnd w:id="44"/>
      <w:bookmarkEnd w:id="45"/>
      <w:bookmarkEnd w:id="46"/>
    </w:p>
    <w:p w14:paraId="4D2C0B95">
      <w:pPr>
        <w:pStyle w:val="51"/>
        <w:bidi w:val="0"/>
        <w:rPr>
          <w:rFonts w:hint="eastAsia"/>
        </w:rPr>
      </w:pPr>
      <w:bookmarkStart w:id="47" w:name="_Toc15758"/>
      <w:bookmarkStart w:id="48" w:name="_Toc13429"/>
      <w:r>
        <w:rPr>
          <w:rFonts w:hint="eastAsia"/>
        </w:rPr>
        <w:t>范围</w:t>
      </w:r>
      <w:bookmarkEnd w:id="47"/>
      <w:bookmarkEnd w:id="48"/>
    </w:p>
    <w:p w14:paraId="11B83CD2">
      <w:pPr>
        <w:pStyle w:val="24"/>
        <w:bidi w:val="0"/>
        <w:rPr>
          <w:rFonts w:hint="default" w:eastAsia="宋体"/>
          <w:lang w:val="en-US" w:eastAsia="zh-CN"/>
        </w:rPr>
      </w:pPr>
      <w:r>
        <w:rPr>
          <w:rFonts w:hint="eastAsia"/>
        </w:rPr>
        <w:t>本</w:t>
      </w:r>
      <w:r>
        <w:rPr>
          <w:rFonts w:hint="eastAsia"/>
          <w:lang w:eastAsia="zh-CN"/>
        </w:rPr>
        <w:t>文件规定</w:t>
      </w:r>
      <w:r>
        <w:rPr>
          <w:rFonts w:hint="eastAsia"/>
        </w:rPr>
        <w:t>了</w:t>
      </w:r>
      <w:r>
        <w:rPr>
          <w:rFonts w:hint="eastAsia"/>
          <w:lang w:eastAsia="zh-CN"/>
        </w:rPr>
        <w:t>地理标志产品</w:t>
      </w:r>
      <w:r>
        <w:rPr>
          <w:rFonts w:hint="eastAsia"/>
          <w:lang w:val="en-US" w:eastAsia="zh-CN"/>
        </w:rPr>
        <w:t>萍乡两头乌猪</w:t>
      </w:r>
      <w:r>
        <w:rPr>
          <w:rFonts w:hint="eastAsia"/>
          <w:lang w:eastAsia="zh-CN"/>
        </w:rPr>
        <w:t>的</w:t>
      </w:r>
      <w:r>
        <w:rPr>
          <w:rFonts w:hint="eastAsia"/>
        </w:rPr>
        <w:t>术语和定义</w:t>
      </w:r>
      <w:r>
        <w:rPr>
          <w:rFonts w:hint="eastAsia"/>
          <w:lang w:eastAsia="zh-CN"/>
        </w:rPr>
        <w:t>，地理标志产品产地范围</w:t>
      </w:r>
      <w:r>
        <w:rPr>
          <w:rFonts w:hint="eastAsia"/>
        </w:rPr>
        <w:t>、</w:t>
      </w:r>
      <w:r>
        <w:rPr>
          <w:rFonts w:hint="eastAsia"/>
          <w:lang w:eastAsia="zh-CN"/>
        </w:rPr>
        <w:t>技术</w:t>
      </w:r>
      <w:r>
        <w:rPr>
          <w:rFonts w:hint="eastAsia"/>
        </w:rPr>
        <w:t>要求、</w:t>
      </w:r>
      <w:r>
        <w:rPr>
          <w:rFonts w:hint="eastAsia"/>
          <w:lang w:val="en-US" w:eastAsia="zh-CN"/>
        </w:rPr>
        <w:t>质量要求、</w:t>
      </w:r>
      <w:r>
        <w:rPr>
          <w:rFonts w:hint="eastAsia"/>
        </w:rPr>
        <w:t>检验</w:t>
      </w:r>
      <w:r>
        <w:rPr>
          <w:rFonts w:hint="eastAsia"/>
          <w:lang w:eastAsia="zh-CN"/>
        </w:rPr>
        <w:t>规则、</w:t>
      </w:r>
      <w:r>
        <w:rPr>
          <w:rFonts w:hint="eastAsia"/>
        </w:rPr>
        <w:t>标志标签、包装、运输、贮存</w:t>
      </w:r>
      <w:r>
        <w:rPr>
          <w:rFonts w:hint="eastAsia"/>
          <w:lang w:val="en-US" w:eastAsia="zh-CN"/>
        </w:rPr>
        <w:t>及溯源管理的要求。</w:t>
      </w:r>
    </w:p>
    <w:p w14:paraId="4C779945">
      <w:pPr>
        <w:pStyle w:val="24"/>
        <w:bidi w:val="0"/>
        <w:rPr>
          <w:rFonts w:hint="eastAsia"/>
        </w:rPr>
      </w:pPr>
      <w:r>
        <w:rPr>
          <w:rFonts w:hint="eastAsia"/>
        </w:rPr>
        <w:t>本文件适用于地理标志产品</w:t>
      </w:r>
      <w:r>
        <w:rPr>
          <w:rFonts w:hint="eastAsia"/>
          <w:lang w:val="en-US" w:eastAsia="zh-CN"/>
        </w:rPr>
        <w:t>萍乡两头乌猪</w:t>
      </w:r>
      <w:r>
        <w:rPr>
          <w:rFonts w:hint="eastAsia"/>
        </w:rPr>
        <w:t>的生产、加工、</w:t>
      </w:r>
      <w:r>
        <w:rPr>
          <w:rFonts w:hint="eastAsia"/>
          <w:lang w:eastAsia="zh-CN"/>
        </w:rPr>
        <w:t>检验、</w:t>
      </w:r>
      <w:r>
        <w:rPr>
          <w:rFonts w:hint="eastAsia"/>
        </w:rPr>
        <w:t>流通，亦适用于地理标志产品</w:t>
      </w:r>
      <w:r>
        <w:rPr>
          <w:rFonts w:hint="eastAsia"/>
          <w:lang w:val="en-US" w:eastAsia="zh-CN"/>
        </w:rPr>
        <w:t>萍乡两头乌猪</w:t>
      </w:r>
      <w:r>
        <w:rPr>
          <w:rFonts w:hint="eastAsia"/>
        </w:rPr>
        <w:t>的保护和管理。</w:t>
      </w:r>
    </w:p>
    <w:p w14:paraId="17A79989">
      <w:pPr>
        <w:pStyle w:val="51"/>
        <w:bidi w:val="0"/>
        <w:rPr>
          <w:rFonts w:hint="eastAsia"/>
        </w:rPr>
      </w:pPr>
      <w:bookmarkStart w:id="49" w:name="_Toc30534"/>
      <w:bookmarkStart w:id="50" w:name="_Toc3679"/>
      <w:r>
        <w:rPr>
          <w:rFonts w:hint="eastAsia"/>
        </w:rPr>
        <w:t>规范性引用文件</w:t>
      </w:r>
      <w:bookmarkEnd w:id="49"/>
      <w:bookmarkEnd w:id="50"/>
    </w:p>
    <w:p w14:paraId="65DC2950">
      <w:pPr>
        <w:pStyle w:val="24"/>
        <w:bidi w:val="0"/>
        <w:rPr>
          <w:rFonts w:hint="default"/>
        </w:rPr>
      </w:pPr>
      <w:r>
        <w:rPr>
          <w:rFonts w:hint="default"/>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1E9A016">
      <w:pPr>
        <w:pStyle w:val="24"/>
        <w:bidi w:val="0"/>
        <w:rPr>
          <w:rFonts w:hint="default" w:ascii="Times New Roman" w:hAnsi="Times New Roman" w:cs="Times New Roman"/>
        </w:rPr>
      </w:pPr>
      <w:r>
        <w:rPr>
          <w:rFonts w:hint="default" w:ascii="Times New Roman" w:hAnsi="Times New Roman" w:cs="Times New Roman"/>
        </w:rPr>
        <w:t>GB/T 191 包装储运图示标志</w:t>
      </w:r>
    </w:p>
    <w:p w14:paraId="68E288A5">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 2707 食品安全国家标准 鲜（冻）畜、禽产品</w:t>
      </w:r>
    </w:p>
    <w:p w14:paraId="1BCE9F71">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 5009.124 食品安全国家标准 食品中氨基酸的测定</w:t>
      </w:r>
    </w:p>
    <w:p w14:paraId="705E0676">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 5009.</w:t>
      </w:r>
      <w:r>
        <w:rPr>
          <w:rFonts w:hint="eastAsia" w:ascii="Times New Roman" w:cs="Times New Roman"/>
          <w:lang w:val="en-US" w:eastAsia="zh-CN"/>
        </w:rPr>
        <w:t>168</w:t>
      </w:r>
      <w:r>
        <w:rPr>
          <w:rFonts w:hint="default" w:ascii="Times New Roman" w:hAnsi="Times New Roman" w:cs="Times New Roman"/>
          <w:lang w:val="en-US" w:eastAsia="zh-CN"/>
        </w:rPr>
        <w:t xml:space="preserve"> 食品安全国家标准 食品中脂肪</w:t>
      </w:r>
      <w:r>
        <w:rPr>
          <w:rFonts w:hint="eastAsia" w:ascii="Times New Roman" w:cs="Times New Roman"/>
          <w:lang w:val="en-US" w:eastAsia="zh-CN"/>
        </w:rPr>
        <w:t>酸</w:t>
      </w:r>
      <w:r>
        <w:rPr>
          <w:rFonts w:hint="default" w:ascii="Times New Roman" w:hAnsi="Times New Roman" w:cs="Times New Roman"/>
          <w:lang w:val="en-US" w:eastAsia="zh-CN"/>
        </w:rPr>
        <w:t>的测定</w:t>
      </w:r>
    </w:p>
    <w:p w14:paraId="6767A6DC">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GB/T 6388 运输包装收发货标志</w:t>
      </w:r>
    </w:p>
    <w:p w14:paraId="5F299B88">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 7718 食品安全国家标准 预包装食品标签通则</w:t>
      </w:r>
    </w:p>
    <w:p w14:paraId="579C921E">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GB/T 9959.3 鲜、冻猪肉及猪副产品 第3部分：分部位分割猪肉</w:t>
      </w:r>
    </w:p>
    <w:p w14:paraId="5F5D2FFA">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 12694 食品安全国家标准 畜禽屠宰加工卫生规范</w:t>
      </w:r>
    </w:p>
    <w:p w14:paraId="142A1EED">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 14881 食品安全国家标准 食品生产通用卫生规范</w:t>
      </w:r>
    </w:p>
    <w:p w14:paraId="7A5959DB">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GB/T 20575 鲜、冻肉生产良好操作规范</w:t>
      </w:r>
    </w:p>
    <w:p w14:paraId="7D7C1942">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GB 20799 食品安全国家标准 肉和肉制品经营卫生规范</w:t>
      </w:r>
    </w:p>
    <w:p w14:paraId="1DBA4FC6">
      <w:pPr>
        <w:pStyle w:val="24"/>
        <w:bidi w:val="0"/>
        <w:rPr>
          <w:szCs w:val="20"/>
          <w:highlight w:val="none"/>
        </w:rPr>
      </w:pPr>
      <w:r>
        <w:rPr>
          <w:rFonts w:hint="default" w:ascii="Times New Roman" w:hAnsi="Times New Roman" w:cs="Times New Roman"/>
          <w:lang w:val="en-US" w:eastAsia="zh-CN"/>
        </w:rPr>
        <w:t>JJF 1070 定量包装商品净含量计量检验规则</w:t>
      </w:r>
    </w:p>
    <w:p w14:paraId="1ED86343">
      <w:pPr>
        <w:pStyle w:val="51"/>
        <w:bidi w:val="0"/>
      </w:pPr>
      <w:bookmarkStart w:id="51" w:name="_Toc29718"/>
      <w:bookmarkStart w:id="52" w:name="_Toc20855"/>
      <w:r>
        <w:rPr>
          <w:rFonts w:hint="eastAsia"/>
        </w:rPr>
        <w:t>术语和定义</w:t>
      </w:r>
      <w:bookmarkEnd w:id="51"/>
      <w:bookmarkEnd w:id="52"/>
    </w:p>
    <w:p w14:paraId="2777A1C4">
      <w:pPr>
        <w:pStyle w:val="24"/>
        <w:bidi w:val="0"/>
        <w:rPr>
          <w:rFonts w:hint="eastAsia"/>
        </w:rPr>
      </w:pPr>
      <w:r>
        <w:rPr>
          <w:rFonts w:hint="eastAsia"/>
        </w:rPr>
        <w:t>下列术语和定义适用于本文件。</w:t>
      </w:r>
    </w:p>
    <w:p w14:paraId="2E3226EC">
      <w:pPr>
        <w:pStyle w:val="48"/>
        <w:bidi w:val="0"/>
      </w:pPr>
    </w:p>
    <w:p w14:paraId="76FFC815">
      <w:pPr>
        <w:pStyle w:val="48"/>
        <w:numPr>
          <w:ilvl w:val="0"/>
          <w:numId w:val="0"/>
        </w:numPr>
        <w:spacing w:before="156" w:after="156"/>
        <w:ind w:firstLine="420" w:firstLineChars="200"/>
        <w:rPr>
          <w:rFonts w:hAnsi="宋体" w:cs="宋体"/>
        </w:rPr>
      </w:pPr>
      <w:r>
        <w:rPr>
          <w:rFonts w:hint="eastAsia" w:hAnsi="宋体" w:cs="宋体"/>
          <w:lang w:val="en-US" w:eastAsia="zh-CN"/>
        </w:rPr>
        <w:t>萍乡两头乌猪</w:t>
      </w:r>
      <w:r>
        <w:rPr>
          <w:rFonts w:hAnsi="宋体" w:cs="宋体"/>
          <w:lang w:val="en-US" w:eastAsia="en-US"/>
        </w:rPr>
        <w:t xml:space="preserve"> </w:t>
      </w:r>
      <w:r>
        <w:rPr>
          <w:rFonts w:hint="eastAsia" w:hAnsi="宋体" w:cs="宋体"/>
          <w:lang w:val="en-US" w:eastAsia="en-US"/>
        </w:rPr>
        <w:t>Pingxiang two black pigs</w:t>
      </w:r>
    </w:p>
    <w:p w14:paraId="19C17C03">
      <w:pPr>
        <w:pStyle w:val="24"/>
        <w:bidi w:val="0"/>
        <w:rPr>
          <w:rFonts w:hint="eastAsia"/>
        </w:rPr>
      </w:pPr>
      <w:r>
        <w:rPr>
          <w:rFonts w:hint="eastAsia"/>
          <w:lang w:val="en-US" w:eastAsia="zh-CN"/>
        </w:rPr>
        <w:t>在第4章规定的产地范围内，自然选择或人工培育形成的地方猪种。外形具有头尾黑，眉心有白点或白带，四肢、中腰、下腹白，身躯黑白相交处“晕带”明显，头短宽，额部皱纹呈菱形且粗深，耳微下垂，背腰平直或下垂，四肢结实等特点。肉色鲜红，富有弹性，肌间脂肪丰富，脂肪洁白，汤汁鲜香味浓，肉质甜嫩。</w:t>
      </w:r>
    </w:p>
    <w:p w14:paraId="23692CD0">
      <w:pPr>
        <w:pStyle w:val="51"/>
        <w:bidi w:val="0"/>
        <w:rPr>
          <w:rFonts w:hint="eastAsia"/>
        </w:rPr>
      </w:pPr>
      <w:bookmarkStart w:id="53" w:name="_Toc14023"/>
      <w:r>
        <w:rPr>
          <w:rFonts w:hint="eastAsia"/>
        </w:rPr>
        <w:t>产地范围</w:t>
      </w:r>
      <w:bookmarkEnd w:id="53"/>
    </w:p>
    <w:p w14:paraId="3547EC11">
      <w:pPr>
        <w:pStyle w:val="24"/>
        <w:bidi w:val="0"/>
        <w:rPr>
          <w:rFonts w:hint="eastAsia"/>
        </w:rPr>
      </w:pPr>
      <w:r>
        <w:rPr>
          <w:rFonts w:hint="default" w:ascii="Times New Roman" w:hAnsi="Times New Roman" w:cs="Times New Roman"/>
        </w:rPr>
        <w:t>地理标志产品</w:t>
      </w:r>
      <w:r>
        <w:rPr>
          <w:rFonts w:hint="default" w:ascii="Times New Roman" w:hAnsi="Times New Roman" w:cs="Times New Roman"/>
          <w:lang w:val="en-US" w:eastAsia="zh-CN"/>
        </w:rPr>
        <w:t>萍乡两头乌猪</w:t>
      </w:r>
      <w:r>
        <w:rPr>
          <w:rFonts w:hint="default" w:ascii="Times New Roman" w:hAnsi="Times New Roman" w:cs="Times New Roman"/>
        </w:rPr>
        <w:t>的产地范围限于</w:t>
      </w:r>
      <w:r>
        <w:rPr>
          <w:rFonts w:hint="default" w:ascii="Times New Roman" w:hAnsi="Times New Roman" w:cs="Times New Roman"/>
          <w:lang w:val="en-US" w:eastAsia="zh-CN"/>
        </w:rPr>
        <w:t>江西省</w:t>
      </w:r>
      <w:r>
        <w:rPr>
          <w:rFonts w:hint="default" w:ascii="Times New Roman" w:hAnsi="Times New Roman" w:cs="Times New Roman"/>
        </w:rPr>
        <w:t>萍乡市湘东区荷尧镇、老关镇、排上镇、东桥镇、广寒寨乡</w:t>
      </w:r>
      <w:r>
        <w:rPr>
          <w:rFonts w:hint="default" w:ascii="Times New Roman" w:hAnsi="Times New Roman" w:cs="Times New Roman"/>
          <w:lang w:val="en-US" w:eastAsia="zh-CN"/>
        </w:rPr>
        <w:t>，</w:t>
      </w:r>
      <w:r>
        <w:rPr>
          <w:rFonts w:hint="default" w:ascii="Times New Roman" w:hAnsi="Times New Roman" w:cs="Times New Roman"/>
        </w:rPr>
        <w:t>萍乡市莲花县高洲乡，共计6个乡镇</w:t>
      </w:r>
      <w:r>
        <w:rPr>
          <w:rFonts w:hint="default" w:ascii="Times New Roman" w:hAnsi="Times New Roman" w:cs="Times New Roman"/>
          <w:lang w:eastAsia="zh-CN"/>
        </w:rPr>
        <w:t>，</w:t>
      </w:r>
      <w:r>
        <w:rPr>
          <w:rFonts w:hint="default" w:ascii="Times New Roman" w:hAnsi="Times New Roman" w:cs="Times New Roman"/>
          <w:lang w:val="en-US" w:eastAsia="zh-CN"/>
        </w:rPr>
        <w:t>74个行政村。</w:t>
      </w:r>
      <w:r>
        <w:rPr>
          <w:rFonts w:hint="default" w:ascii="Times New Roman" w:hAnsi="Times New Roman" w:cs="Times New Roman"/>
        </w:rPr>
        <w:t>地理坐标为东经113°43′59″- 113°56′01″，北纬27°22′34″-27°32′29″</w:t>
      </w:r>
      <w:r>
        <w:rPr>
          <w:rFonts w:hint="default" w:ascii="Times New Roman" w:hAnsi="Times New Roman" w:cs="Times New Roman"/>
          <w:lang w:eastAsia="zh-CN"/>
        </w:rPr>
        <w:t>，</w:t>
      </w:r>
      <w:r>
        <w:rPr>
          <w:rFonts w:hint="default" w:ascii="Times New Roman" w:hAnsi="Times New Roman" w:cs="Times New Roman"/>
        </w:rPr>
        <w:t>见附录A。</w:t>
      </w:r>
    </w:p>
    <w:p w14:paraId="49712773">
      <w:pPr>
        <w:pStyle w:val="51"/>
        <w:bidi w:val="0"/>
        <w:rPr>
          <w:rFonts w:hint="eastAsia"/>
        </w:rPr>
      </w:pPr>
      <w:bookmarkStart w:id="54" w:name="_Toc19808"/>
      <w:r>
        <w:rPr>
          <w:rFonts w:hint="eastAsia"/>
        </w:rPr>
        <w:t>技术要求</w:t>
      </w:r>
      <w:bookmarkEnd w:id="54"/>
    </w:p>
    <w:p w14:paraId="26FEC0AF">
      <w:pPr>
        <w:pStyle w:val="48"/>
        <w:bidi w:val="0"/>
        <w:rPr>
          <w:rFonts w:hint="eastAsia"/>
        </w:rPr>
      </w:pPr>
      <w:r>
        <w:rPr>
          <w:rFonts w:hint="eastAsia"/>
          <w:lang w:val="en-US" w:eastAsia="zh-CN"/>
        </w:rPr>
        <w:t>产地环境</w:t>
      </w:r>
    </w:p>
    <w:p w14:paraId="1D65E446">
      <w:pPr>
        <w:pStyle w:val="24"/>
        <w:bidi w:val="0"/>
      </w:pPr>
      <w:r>
        <w:rPr>
          <w:rFonts w:hint="default" w:ascii="Times New Roman" w:hAnsi="Times New Roman" w:cs="Times New Roman"/>
          <w:lang w:val="en-US" w:eastAsia="zh-CN"/>
        </w:rPr>
        <w:t>属亚热带湿润季风气候，四季分明，气候温和，光照充足，雨量充沛。以丘陵地貌为主，境内山地、丘陵、盆地错综分布，土壤多为红壤土，土地肥沃，有机质丰富；年平均气温17.3℃；</w:t>
      </w:r>
      <w:bookmarkStart w:id="66" w:name="_GoBack"/>
      <w:r>
        <w:rPr>
          <w:rFonts w:hint="default" w:ascii="Times New Roman" w:hAnsi="Times New Roman" w:cs="Times New Roman"/>
          <w:lang w:val="en-US" w:eastAsia="zh-CN"/>
        </w:rPr>
        <w:t>年平均降水量</w:t>
      </w:r>
      <w:bookmarkEnd w:id="66"/>
      <w:r>
        <w:rPr>
          <w:rFonts w:hint="default" w:ascii="Times New Roman" w:hAnsi="Times New Roman" w:cs="Times New Roman"/>
          <w:lang w:val="en-US" w:eastAsia="zh-CN"/>
        </w:rPr>
        <w:t>1596.7mm，降水量主要集中在4～6月，占全年降水量的42%；水系分属长江流域的洞庭湖水系和鄱阳湖水系，主要有萍水、栗水、草水、袁水、莲水五条河流，地表水径流量为26.46亿m³/年，水能源可开发量4万Kw，地下水资源蕴藏丰富，存储量为4亿m³，水质优良；全市森林覆盖率达55.4%。</w:t>
      </w:r>
    </w:p>
    <w:p w14:paraId="69156A34">
      <w:pPr>
        <w:pStyle w:val="48"/>
        <w:bidi w:val="0"/>
        <w:rPr>
          <w:rFonts w:hint="eastAsia"/>
        </w:rPr>
      </w:pPr>
      <w:r>
        <w:rPr>
          <w:rFonts w:hint="eastAsia"/>
          <w:lang w:val="en-US" w:eastAsia="zh-CN"/>
        </w:rPr>
        <w:t>饲养环境</w:t>
      </w:r>
    </w:p>
    <w:p w14:paraId="29B5DF04">
      <w:pPr>
        <w:pStyle w:val="24"/>
        <w:bidi w:val="0"/>
        <w:rPr>
          <w:rFonts w:hint="eastAsia"/>
        </w:rPr>
      </w:pPr>
      <w:r>
        <w:rPr>
          <w:rFonts w:hint="eastAsia"/>
          <w:lang w:val="en-US" w:eastAsia="zh-CN"/>
        </w:rPr>
        <w:t>宜选择地势高燥、排水良好、易于防疫、周边无污染源、具有绿色隔离带的区域养殖。</w:t>
      </w:r>
    </w:p>
    <w:p w14:paraId="07368792">
      <w:pPr>
        <w:pStyle w:val="48"/>
        <w:bidi w:val="0"/>
        <w:rPr>
          <w:rFonts w:hint="eastAsia"/>
        </w:rPr>
      </w:pPr>
      <w:r>
        <w:rPr>
          <w:rFonts w:hint="eastAsia"/>
          <w:lang w:val="en-US" w:eastAsia="zh-CN"/>
        </w:rPr>
        <w:t>品种</w:t>
      </w:r>
    </w:p>
    <w:p w14:paraId="2112A05F">
      <w:pPr>
        <w:pStyle w:val="24"/>
        <w:bidi w:val="0"/>
        <w:rPr>
          <w:rFonts w:hint="eastAsia"/>
        </w:rPr>
      </w:pPr>
      <w:r>
        <w:rPr>
          <w:rFonts w:hint="eastAsia"/>
          <w:lang w:val="en-US" w:eastAsia="zh-CN"/>
        </w:rPr>
        <w:t>萍乡两头乌猪</w:t>
      </w:r>
      <w:r>
        <w:rPr>
          <w:rFonts w:hint="eastAsia"/>
          <w:lang w:eastAsia="zh-CN"/>
        </w:rPr>
        <w:t>。</w:t>
      </w:r>
    </w:p>
    <w:p w14:paraId="362B453F">
      <w:pPr>
        <w:pStyle w:val="48"/>
        <w:bidi w:val="0"/>
        <w:rPr>
          <w:rFonts w:hint="eastAsia"/>
        </w:rPr>
      </w:pPr>
      <w:r>
        <w:rPr>
          <w:rFonts w:hint="eastAsia"/>
          <w:lang w:val="en-US" w:eastAsia="zh-CN"/>
        </w:rPr>
        <w:t>生产过程管理</w:t>
      </w:r>
    </w:p>
    <w:p w14:paraId="1596B033">
      <w:pPr>
        <w:pStyle w:val="24"/>
        <w:bidi w:val="0"/>
        <w:rPr>
          <w:rFonts w:hint="eastAsia"/>
        </w:rPr>
      </w:pPr>
      <w:r>
        <w:rPr>
          <w:rFonts w:hint="eastAsia"/>
          <w:lang w:eastAsia="zh-CN"/>
        </w:rPr>
        <w:t>采用精料饲喂与青粗饲料饲喂相结合的方式，饲料营养水平、饲养方式考虑传统与现代相结合的模式，保持品种的独特性。</w:t>
      </w:r>
    </w:p>
    <w:p w14:paraId="60662408">
      <w:pPr>
        <w:pStyle w:val="52"/>
        <w:bidi w:val="0"/>
        <w:rPr>
          <w:rFonts w:hint="eastAsia"/>
        </w:rPr>
      </w:pPr>
      <w:r>
        <w:rPr>
          <w:rFonts w:hint="eastAsia"/>
          <w:lang w:val="en-US" w:eastAsia="zh-CN"/>
        </w:rPr>
        <w:t>人员管理</w:t>
      </w:r>
    </w:p>
    <w:p w14:paraId="337E4565">
      <w:pPr>
        <w:pStyle w:val="24"/>
        <w:bidi w:val="0"/>
        <w:rPr>
          <w:rFonts w:hint="default"/>
        </w:rPr>
      </w:pPr>
      <w:r>
        <w:rPr>
          <w:rFonts w:hint="default"/>
          <w:lang w:val="en-US" w:eastAsia="zh-CN"/>
        </w:rPr>
        <w:t>饲养员应定期进行健康检查，传染病患者不得从事养猪工作；工作人员进入生产区要经过更衣、紫外线消毒；非工作人员确需要进入产区时，要更换场区工作服和工作鞋，并遵守场内防疫制度，按指定路线行走。</w:t>
      </w:r>
    </w:p>
    <w:p w14:paraId="7796874F">
      <w:pPr>
        <w:pStyle w:val="52"/>
        <w:bidi w:val="0"/>
        <w:rPr>
          <w:rFonts w:hint="eastAsia"/>
        </w:rPr>
      </w:pPr>
      <w:r>
        <w:rPr>
          <w:rFonts w:hint="eastAsia"/>
          <w:lang w:val="en-US" w:eastAsia="zh-CN"/>
        </w:rPr>
        <w:t>饲养管理</w:t>
      </w:r>
    </w:p>
    <w:p w14:paraId="0CDBDC7D">
      <w:pPr>
        <w:pStyle w:val="24"/>
        <w:bidi w:val="0"/>
        <w:rPr>
          <w:rFonts w:hint="default"/>
          <w:lang w:val="en-US" w:eastAsia="zh-CN"/>
        </w:rPr>
      </w:pPr>
      <w:r>
        <w:rPr>
          <w:rFonts w:hint="default"/>
          <w:lang w:val="en-US" w:eastAsia="zh-CN"/>
        </w:rPr>
        <w:t>采用半饲养半放牧的方式，利用现代生物发酵技术，中药生物炮制防病技术进行养殖。饲喂以米粥、谷粉、米糠为主要原料制作的生物发酵饲料，辅以当地种植的菜叶、红薯等青饲料，采用松针、黄芪、板蓝根等多种中药材炮制的药剂防病。</w:t>
      </w:r>
    </w:p>
    <w:p w14:paraId="1D354590">
      <w:pPr>
        <w:pStyle w:val="124"/>
        <w:numPr>
          <w:ilvl w:val="3"/>
          <w:numId w:val="2"/>
        </w:numPr>
        <w:bidi w:val="0"/>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仔猪：初生体重为1kg-1.2kg。产后第7天起开始补料诱食，喂养大米粥或谷粉等其他杂粮制作的生物发酵饲料，配清洗干净的煮熟的菜叶；少喂多次，根据日龄添加，做到下次添料时上次的料吃完，仔猪补料槽要每日检查，及时清理更换被污染的料，让仔猪每日吃到新鲜的补料。</w:t>
      </w:r>
    </w:p>
    <w:p w14:paraId="0DFA4309">
      <w:pPr>
        <w:pStyle w:val="124"/>
        <w:numPr>
          <w:ilvl w:val="3"/>
          <w:numId w:val="2"/>
        </w:numPr>
        <w:bidi w:val="0"/>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生长猪-出栏猪：5kg-90kg。日粮基本为大米粥、玉米粉或谷粉等其他杂粮制作的生物发酵饲料，配清洗干净的煮熟菜叶，约50斤。通过10个月的半饲养半放牧的饲养，猪体重达到90kg后出栏。</w:t>
      </w:r>
    </w:p>
    <w:p w14:paraId="2AF0FB68">
      <w:pPr>
        <w:pStyle w:val="48"/>
        <w:bidi w:val="0"/>
        <w:rPr>
          <w:rFonts w:hint="eastAsia"/>
        </w:rPr>
      </w:pPr>
      <w:r>
        <w:rPr>
          <w:rFonts w:hint="eastAsia"/>
          <w:lang w:val="en-US" w:eastAsia="zh-CN"/>
        </w:rPr>
        <w:t>免疫防控</w:t>
      </w:r>
    </w:p>
    <w:p w14:paraId="080B33DE">
      <w:pPr>
        <w:pStyle w:val="24"/>
        <w:bidi w:val="0"/>
        <w:rPr>
          <w:rFonts w:hint="eastAsia"/>
        </w:rPr>
      </w:pPr>
      <w:r>
        <w:rPr>
          <w:rFonts w:hint="eastAsia"/>
          <w:lang w:val="en-US" w:eastAsia="zh-CN"/>
        </w:rPr>
        <w:t>坚持“预防为主、综合防治”的原则，不断加大免疫力度，提高免疫密度，强化疫情监测，切实做到“早发现、早报告、早处置、早控制”。</w:t>
      </w:r>
    </w:p>
    <w:p w14:paraId="099B12A1">
      <w:pPr>
        <w:pStyle w:val="69"/>
        <w:bidi w:val="0"/>
        <w:rPr>
          <w:rFonts w:hint="eastAsia"/>
          <w:lang w:val="en-US" w:eastAsia="zh-CN"/>
        </w:rPr>
      </w:pPr>
      <w:r>
        <w:rPr>
          <w:rFonts w:hint="eastAsia"/>
          <w:lang w:val="en-US" w:eastAsia="zh-CN"/>
        </w:rPr>
        <w:t>除用中药材炮制的药剂防病外，完善疫病疫情监测网络和制度，配备专业检疫人员，定期进行防疫注射，发现病猪及时隔离治疗，严防疫病传播，确保生产安全。</w:t>
      </w:r>
    </w:p>
    <w:p w14:paraId="71ED9A04">
      <w:pPr>
        <w:pStyle w:val="69"/>
        <w:bidi w:val="0"/>
        <w:rPr>
          <w:rFonts w:hint="eastAsia"/>
        </w:rPr>
      </w:pPr>
      <w:r>
        <w:rPr>
          <w:rFonts w:hint="eastAsia"/>
          <w:lang w:val="en-US" w:eastAsia="zh-CN"/>
        </w:rPr>
        <w:t>免疫用具在免疫前后应彻底消毒，剩余或废弃的疫苗以及使用过的疫苗瓶要做无害化处理，不得乱扔。</w:t>
      </w:r>
    </w:p>
    <w:p w14:paraId="667057A7">
      <w:pPr>
        <w:pStyle w:val="48"/>
        <w:bidi w:val="0"/>
        <w:rPr>
          <w:rFonts w:hint="eastAsia"/>
        </w:rPr>
      </w:pPr>
      <w:r>
        <w:rPr>
          <w:rFonts w:hint="eastAsia"/>
          <w:lang w:val="en-US" w:eastAsia="zh-CN"/>
        </w:rPr>
        <w:t>兽药使用</w:t>
      </w:r>
    </w:p>
    <w:p w14:paraId="56A9637A">
      <w:pPr>
        <w:pStyle w:val="24"/>
        <w:bidi w:val="0"/>
        <w:rPr>
          <w:rFonts w:hint="eastAsia"/>
          <w:lang w:val="en-US" w:eastAsia="zh-CN"/>
        </w:rPr>
      </w:pPr>
      <w:r>
        <w:rPr>
          <w:rFonts w:hint="eastAsia"/>
          <w:lang w:val="en-US" w:eastAsia="zh-CN"/>
        </w:rPr>
        <w:t>猪场保持良好的饲养管理，尽量减少疾病的发生，减少药物的使用量，仔猪、生长猪必须治疗时，药物使用应按照《兽药管理条例》及国家相关公告规定要求，严格执行休药期规定。</w:t>
      </w:r>
    </w:p>
    <w:p w14:paraId="2200599F">
      <w:pPr>
        <w:pStyle w:val="48"/>
        <w:bidi w:val="0"/>
        <w:rPr>
          <w:rFonts w:hint="eastAsia"/>
          <w:lang w:val="en-US" w:eastAsia="zh-CN"/>
        </w:rPr>
      </w:pPr>
      <w:r>
        <w:rPr>
          <w:rFonts w:hint="eastAsia"/>
          <w:lang w:val="en-US" w:eastAsia="zh-CN"/>
        </w:rPr>
        <w:t>生产记录</w:t>
      </w:r>
    </w:p>
    <w:p w14:paraId="7ADFE0BD">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萍乡两头乌猪生产养殖的全过程，应建立完善的养殖记录档案，确保记录能追溯实际生产的全过程，并妥善保存3年以上，以备随时查阅。</w:t>
      </w:r>
    </w:p>
    <w:p w14:paraId="2B1EE9BA">
      <w:pPr>
        <w:pStyle w:val="48"/>
        <w:bidi w:val="0"/>
        <w:rPr>
          <w:rFonts w:hint="eastAsia"/>
          <w:lang w:val="en-US" w:eastAsia="zh-CN"/>
        </w:rPr>
      </w:pPr>
      <w:r>
        <w:rPr>
          <w:rFonts w:hint="eastAsia"/>
          <w:lang w:val="en-US" w:eastAsia="zh-CN"/>
        </w:rPr>
        <w:t>屠宰加工</w:t>
      </w:r>
    </w:p>
    <w:p w14:paraId="65A565DE">
      <w:pPr>
        <w:pStyle w:val="52"/>
        <w:bidi w:val="0"/>
        <w:rPr>
          <w:rFonts w:hint="eastAsia"/>
          <w:lang w:val="en-US" w:eastAsia="zh-CN"/>
        </w:rPr>
      </w:pPr>
      <w:r>
        <w:rPr>
          <w:rFonts w:hint="eastAsia"/>
          <w:lang w:val="en-US" w:eastAsia="zh-CN"/>
        </w:rPr>
        <w:t>猪源</w:t>
      </w:r>
    </w:p>
    <w:p w14:paraId="2DA5121E">
      <w:pPr>
        <w:pStyle w:val="24"/>
        <w:bidi w:val="0"/>
        <w:rPr>
          <w:rFonts w:hint="eastAsia"/>
          <w:lang w:val="en-US" w:eastAsia="zh-CN"/>
        </w:rPr>
      </w:pPr>
      <w:r>
        <w:rPr>
          <w:rFonts w:hint="eastAsia"/>
          <w:lang w:val="en-US" w:eastAsia="zh-CN"/>
        </w:rPr>
        <w:t>选自地理标志产品保护范围内符合前述标准的活猪。</w:t>
      </w:r>
    </w:p>
    <w:p w14:paraId="00789234">
      <w:pPr>
        <w:pStyle w:val="52"/>
        <w:bidi w:val="0"/>
        <w:rPr>
          <w:rFonts w:hint="eastAsia"/>
          <w:lang w:val="en-US" w:eastAsia="zh-CN"/>
        </w:rPr>
      </w:pPr>
      <w:r>
        <w:rPr>
          <w:rFonts w:hint="eastAsia"/>
          <w:lang w:val="en-US" w:eastAsia="zh-CN"/>
        </w:rPr>
        <w:t>屠宰加工流程</w:t>
      </w:r>
    </w:p>
    <w:p w14:paraId="436FB534">
      <w:pPr>
        <w:pStyle w:val="24"/>
        <w:bidi w:val="0"/>
        <w:rPr>
          <w:rFonts w:hint="eastAsia"/>
          <w:lang w:val="en-US" w:eastAsia="zh-CN"/>
        </w:rPr>
      </w:pPr>
      <w:r>
        <w:rPr>
          <w:rFonts w:hint="eastAsia"/>
          <w:lang w:val="en-US" w:eastAsia="zh-CN"/>
        </w:rPr>
        <w:t>验收→宰前检查→侯宰→淋浴→电麻→吊挂→放血→头部检验→烫毛→脱毛→清洗→燎毛→清洗→体表检验→同步检验→宰后胴体检查→修整→分级→胴体二段冷却排酸→冷分割→真空包装→冷却→装箱→暂存→销售。</w:t>
      </w:r>
    </w:p>
    <w:p w14:paraId="6B08E0A4">
      <w:pPr>
        <w:pStyle w:val="52"/>
        <w:bidi w:val="0"/>
        <w:rPr>
          <w:rFonts w:hint="eastAsia"/>
          <w:lang w:val="en-US" w:eastAsia="zh-CN"/>
        </w:rPr>
      </w:pPr>
      <w:r>
        <w:rPr>
          <w:rFonts w:hint="eastAsia"/>
          <w:lang w:val="en-US" w:eastAsia="zh-CN"/>
        </w:rPr>
        <w:t>卫生要求</w:t>
      </w:r>
    </w:p>
    <w:p w14:paraId="49703AE4">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屠宰加工过程应符合GB 12694的规定，生产加工过程应符合GB 14881和GB/T 20575规定，安全质量应符合国家相关规定。</w:t>
      </w:r>
    </w:p>
    <w:p w14:paraId="5DC446B6">
      <w:pPr>
        <w:pStyle w:val="51"/>
        <w:bidi w:val="0"/>
      </w:pPr>
      <w:bookmarkStart w:id="55" w:name="_Toc3949"/>
      <w:r>
        <w:rPr>
          <w:rFonts w:hint="eastAsia"/>
        </w:rPr>
        <w:t>质量要求</w:t>
      </w:r>
      <w:bookmarkEnd w:id="55"/>
    </w:p>
    <w:p w14:paraId="6B2ECAF9">
      <w:pPr>
        <w:pStyle w:val="48"/>
        <w:bidi w:val="0"/>
      </w:pPr>
      <w:r>
        <w:rPr>
          <w:rFonts w:hint="eastAsia"/>
          <w:lang w:val="en-US" w:eastAsia="zh-CN"/>
        </w:rPr>
        <w:t>感官品质</w:t>
      </w:r>
    </w:p>
    <w:p w14:paraId="0F388210">
      <w:pPr>
        <w:pStyle w:val="24"/>
        <w:bidi w:val="0"/>
      </w:pPr>
      <w:r>
        <w:rPr>
          <w:rFonts w:hint="default"/>
        </w:rPr>
        <w:t>萍乡两头乌猪的质量指标见表1。</w:t>
      </w:r>
    </w:p>
    <w:p w14:paraId="293D96BF">
      <w:pPr>
        <w:pStyle w:val="132"/>
        <w:bidi w:val="0"/>
      </w:pPr>
      <w:r>
        <w:rPr>
          <w:rFonts w:hint="eastAsia"/>
          <w:lang w:val="en-US" w:eastAsia="zh-CN"/>
        </w:rPr>
        <w:t>萍乡两头乌猪猪肉感官品质</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0"/>
        <w:gridCol w:w="4808"/>
        <w:gridCol w:w="1871"/>
      </w:tblGrid>
      <w:tr w14:paraId="064F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0" w:type="dxa"/>
            <w:noWrap w:val="0"/>
            <w:vAlign w:val="top"/>
          </w:tcPr>
          <w:p w14:paraId="4291AA75">
            <w:pPr>
              <w:autoSpaceDE w:val="0"/>
              <w:autoSpaceDN w:val="0"/>
              <w:ind w:left="0" w:leftChars="0" w:firstLine="0" w:firstLineChars="0"/>
              <w:jc w:val="center"/>
              <w:rPr>
                <w:rFonts w:hint="default" w:ascii="宋体" w:hAnsi="Times New Roman" w:eastAsia="宋体" w:cs="Times New Roman"/>
                <w:color w:val="auto"/>
                <w:sz w:val="21"/>
                <w:szCs w:val="18"/>
                <w:highlight w:val="none"/>
                <w:vertAlign w:val="baseline"/>
                <w:lang w:val="en-US" w:eastAsia="zh-CN" w:bidi="ar-SA"/>
              </w:rPr>
            </w:pPr>
            <w:r>
              <w:rPr>
                <w:rFonts w:hint="eastAsia" w:ascii="宋体" w:hAnsi="Times New Roman" w:eastAsia="宋体" w:cs="Times New Roman"/>
                <w:color w:val="auto"/>
                <w:sz w:val="21"/>
                <w:szCs w:val="18"/>
                <w:highlight w:val="none"/>
                <w:vertAlign w:val="baseline"/>
                <w:lang w:val="en-US" w:eastAsia="zh-CN" w:bidi="ar-SA"/>
              </w:rPr>
              <w:t>项目</w:t>
            </w:r>
          </w:p>
        </w:tc>
        <w:tc>
          <w:tcPr>
            <w:tcW w:w="4808" w:type="dxa"/>
            <w:noWrap w:val="0"/>
            <w:vAlign w:val="top"/>
          </w:tcPr>
          <w:p w14:paraId="6567FDA0">
            <w:pPr>
              <w:autoSpaceDE w:val="0"/>
              <w:autoSpaceDN w:val="0"/>
              <w:ind w:left="0" w:leftChars="0" w:firstLine="0" w:firstLineChars="0"/>
              <w:jc w:val="center"/>
              <w:rPr>
                <w:rFonts w:hint="default" w:ascii="宋体" w:hAnsi="Times New Roman" w:eastAsia="宋体" w:cs="Times New Roman"/>
                <w:color w:val="auto"/>
                <w:sz w:val="21"/>
                <w:szCs w:val="18"/>
                <w:highlight w:val="none"/>
                <w:vertAlign w:val="baseline"/>
                <w:lang w:val="en-US" w:eastAsia="zh-CN" w:bidi="ar-SA"/>
              </w:rPr>
            </w:pPr>
            <w:r>
              <w:rPr>
                <w:rFonts w:hint="eastAsia" w:ascii="宋体" w:hAnsi="Times New Roman" w:eastAsia="宋体" w:cs="Times New Roman"/>
                <w:color w:val="auto"/>
                <w:sz w:val="21"/>
                <w:szCs w:val="18"/>
                <w:highlight w:val="none"/>
                <w:vertAlign w:val="baseline"/>
                <w:lang w:val="en-US" w:eastAsia="zh-CN" w:bidi="ar-SA"/>
              </w:rPr>
              <w:t>鲜猪肉</w:t>
            </w:r>
          </w:p>
        </w:tc>
        <w:tc>
          <w:tcPr>
            <w:tcW w:w="1871" w:type="dxa"/>
            <w:noWrap w:val="0"/>
            <w:vAlign w:val="top"/>
          </w:tcPr>
          <w:p w14:paraId="334AF0AC">
            <w:pPr>
              <w:autoSpaceDE w:val="0"/>
              <w:autoSpaceDN w:val="0"/>
              <w:ind w:left="0" w:leftChars="0" w:firstLine="0" w:firstLineChars="0"/>
              <w:jc w:val="center"/>
              <w:rPr>
                <w:rFonts w:hint="default" w:ascii="宋体" w:hAnsi="Times New Roman" w:eastAsia="宋体" w:cs="Times New Roman"/>
                <w:color w:val="auto"/>
                <w:sz w:val="21"/>
                <w:szCs w:val="18"/>
                <w:highlight w:val="none"/>
                <w:vertAlign w:val="baseline"/>
                <w:lang w:val="en-US" w:eastAsia="zh-CN" w:bidi="ar-SA"/>
              </w:rPr>
            </w:pPr>
            <w:r>
              <w:rPr>
                <w:rFonts w:hint="eastAsia" w:ascii="宋体" w:hAnsi="Times New Roman" w:eastAsia="宋体" w:cs="Times New Roman"/>
                <w:color w:val="auto"/>
                <w:sz w:val="21"/>
                <w:szCs w:val="18"/>
                <w:highlight w:val="none"/>
                <w:vertAlign w:val="baseline"/>
                <w:lang w:val="en-US" w:eastAsia="zh-CN" w:bidi="ar-SA"/>
              </w:rPr>
              <w:t>检验方法</w:t>
            </w:r>
          </w:p>
        </w:tc>
      </w:tr>
      <w:tr w14:paraId="1134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0" w:type="dxa"/>
            <w:noWrap w:val="0"/>
            <w:vAlign w:val="top"/>
          </w:tcPr>
          <w:p w14:paraId="01B0374F">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eastAsia" w:ascii="Times New Roman" w:hAnsi="Times New Roman" w:eastAsia="宋体" w:cs="Times New Roman"/>
                <w:color w:val="auto"/>
                <w:sz w:val="21"/>
                <w:szCs w:val="18"/>
                <w:highlight w:val="none"/>
                <w:vertAlign w:val="baseline"/>
                <w:lang w:val="en-US" w:eastAsia="zh-CN" w:bidi="ar-SA"/>
              </w:rPr>
              <w:t>色泽</w:t>
            </w:r>
          </w:p>
        </w:tc>
        <w:tc>
          <w:tcPr>
            <w:tcW w:w="4808" w:type="dxa"/>
            <w:noWrap w:val="0"/>
            <w:vAlign w:val="top"/>
          </w:tcPr>
          <w:p w14:paraId="173660AD">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eastAsia" w:ascii="Times New Roman" w:hAnsi="Times New Roman" w:eastAsia="宋体" w:cs="Times New Roman"/>
                <w:color w:val="auto"/>
                <w:spacing w:val="-6"/>
                <w:sz w:val="21"/>
                <w:szCs w:val="18"/>
                <w:highlight w:val="none"/>
                <w:lang w:val="en-US" w:eastAsia="zh-CN" w:bidi="ar-SA"/>
              </w:rPr>
              <w:t>鲜肉肉色鲜红、色泽鲜亮</w:t>
            </w:r>
          </w:p>
        </w:tc>
        <w:tc>
          <w:tcPr>
            <w:tcW w:w="1871" w:type="dxa"/>
            <w:vMerge w:val="restart"/>
            <w:noWrap w:val="0"/>
            <w:vAlign w:val="center"/>
          </w:tcPr>
          <w:p w14:paraId="1F6C18D5">
            <w:pPr>
              <w:autoSpaceDE w:val="0"/>
              <w:autoSpaceDN w:val="0"/>
              <w:ind w:left="0" w:leftChars="0" w:firstLine="0" w:firstLineChars="0"/>
              <w:jc w:val="center"/>
              <w:rPr>
                <w:rFonts w:hint="default" w:ascii="Times New Roman" w:hAnsi="Times New Roman" w:eastAsia="宋体" w:cs="Times New Roman"/>
                <w:color w:val="auto"/>
                <w:spacing w:val="-6"/>
                <w:sz w:val="21"/>
                <w:szCs w:val="18"/>
                <w:highlight w:val="none"/>
                <w:lang w:val="en-US" w:eastAsia="zh-CN" w:bidi="ar-SA"/>
              </w:rPr>
            </w:pPr>
            <w:r>
              <w:rPr>
                <w:rFonts w:hint="eastAsia" w:ascii="Times New Roman" w:hAnsi="Times New Roman" w:eastAsia="宋体" w:cs="Times New Roman"/>
                <w:color w:val="auto"/>
                <w:spacing w:val="-6"/>
                <w:sz w:val="21"/>
                <w:szCs w:val="18"/>
                <w:highlight w:val="none"/>
                <w:lang w:val="en-US" w:eastAsia="zh-CN" w:bidi="ar-SA"/>
              </w:rPr>
              <w:t>GB 2707</w:t>
            </w:r>
          </w:p>
        </w:tc>
      </w:tr>
      <w:tr w14:paraId="7AA5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0" w:type="dxa"/>
            <w:noWrap w:val="0"/>
            <w:vAlign w:val="center"/>
          </w:tcPr>
          <w:p w14:paraId="774D7E6D">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eastAsia" w:ascii="Times New Roman" w:hAnsi="Times New Roman" w:eastAsia="宋体" w:cs="Times New Roman"/>
                <w:color w:val="auto"/>
                <w:sz w:val="21"/>
                <w:szCs w:val="18"/>
                <w:highlight w:val="none"/>
                <w:vertAlign w:val="baseline"/>
                <w:lang w:val="en-US" w:eastAsia="zh-CN" w:bidi="ar-SA"/>
              </w:rPr>
              <w:t>组织状态</w:t>
            </w:r>
          </w:p>
        </w:tc>
        <w:tc>
          <w:tcPr>
            <w:tcW w:w="4808" w:type="dxa"/>
            <w:noWrap w:val="0"/>
            <w:vAlign w:val="top"/>
          </w:tcPr>
          <w:p w14:paraId="2E9BF1DD">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eastAsia" w:ascii="Times New Roman" w:hAnsi="Times New Roman" w:eastAsia="宋体" w:cs="Times New Roman"/>
                <w:color w:val="auto"/>
                <w:spacing w:val="-6"/>
                <w:sz w:val="21"/>
                <w:szCs w:val="18"/>
                <w:highlight w:val="none"/>
                <w:lang w:val="en-US" w:eastAsia="zh-CN" w:bidi="ar-SA"/>
              </w:rPr>
              <w:t>肉富弹性，肌间脂肪丰富，脂肪洁白</w:t>
            </w:r>
          </w:p>
        </w:tc>
        <w:tc>
          <w:tcPr>
            <w:tcW w:w="1871" w:type="dxa"/>
            <w:vMerge w:val="continue"/>
            <w:noWrap w:val="0"/>
            <w:vAlign w:val="top"/>
          </w:tcPr>
          <w:p w14:paraId="142A085C">
            <w:pPr>
              <w:autoSpaceDE w:val="0"/>
              <w:autoSpaceDN w:val="0"/>
              <w:ind w:left="0" w:leftChars="0" w:firstLine="0" w:firstLineChars="0"/>
              <w:jc w:val="center"/>
              <w:rPr>
                <w:rFonts w:hint="eastAsia" w:ascii="Times New Roman" w:hAnsi="Times New Roman" w:eastAsia="宋体" w:cs="Times New Roman"/>
                <w:color w:val="auto"/>
                <w:spacing w:val="-6"/>
                <w:sz w:val="21"/>
                <w:szCs w:val="18"/>
                <w:highlight w:val="none"/>
                <w:lang w:val="en-US" w:eastAsia="zh-CN" w:bidi="ar-SA"/>
              </w:rPr>
            </w:pPr>
          </w:p>
        </w:tc>
      </w:tr>
      <w:tr w14:paraId="091A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0" w:type="dxa"/>
            <w:noWrap w:val="0"/>
            <w:vAlign w:val="top"/>
          </w:tcPr>
          <w:p w14:paraId="0805C1F0">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eastAsia" w:ascii="Times New Roman" w:hAnsi="Times New Roman" w:eastAsia="宋体" w:cs="Times New Roman"/>
                <w:color w:val="auto"/>
                <w:sz w:val="21"/>
                <w:szCs w:val="18"/>
                <w:highlight w:val="none"/>
                <w:vertAlign w:val="baseline"/>
                <w:lang w:val="en-US" w:eastAsia="zh-CN" w:bidi="ar-SA"/>
              </w:rPr>
              <w:t>气味</w:t>
            </w:r>
          </w:p>
        </w:tc>
        <w:tc>
          <w:tcPr>
            <w:tcW w:w="4808" w:type="dxa"/>
            <w:noWrap w:val="0"/>
            <w:vAlign w:val="top"/>
          </w:tcPr>
          <w:p w14:paraId="7051A54E">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汤汁鲜香味浓，肉质甜嫩</w:t>
            </w:r>
            <w:r>
              <w:rPr>
                <w:rFonts w:hint="eastAsia" w:ascii="Times New Roman" w:hAnsi="Times New Roman" w:eastAsia="宋体" w:cs="Times New Roman"/>
                <w:color w:val="auto"/>
                <w:sz w:val="21"/>
                <w:szCs w:val="18"/>
                <w:highlight w:val="none"/>
                <w:vertAlign w:val="baseline"/>
                <w:lang w:val="en-US" w:eastAsia="zh-CN" w:bidi="ar-SA"/>
              </w:rPr>
              <w:t>，</w:t>
            </w:r>
            <w:r>
              <w:rPr>
                <w:rFonts w:hint="default" w:ascii="Times New Roman" w:hAnsi="Times New Roman" w:eastAsia="宋体" w:cs="Times New Roman"/>
                <w:color w:val="auto"/>
                <w:sz w:val="21"/>
                <w:szCs w:val="18"/>
                <w:highlight w:val="none"/>
                <w:vertAlign w:val="baseline"/>
                <w:lang w:val="en-US" w:eastAsia="zh-CN" w:bidi="ar-SA"/>
              </w:rPr>
              <w:t>无异味</w:t>
            </w:r>
          </w:p>
        </w:tc>
        <w:tc>
          <w:tcPr>
            <w:tcW w:w="1871" w:type="dxa"/>
            <w:vMerge w:val="continue"/>
            <w:noWrap w:val="0"/>
            <w:vAlign w:val="top"/>
          </w:tcPr>
          <w:p w14:paraId="1747A8C9">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p>
        </w:tc>
      </w:tr>
    </w:tbl>
    <w:p w14:paraId="2DE47E6A">
      <w:pPr>
        <w:pStyle w:val="48"/>
        <w:bidi w:val="0"/>
      </w:pPr>
      <w:r>
        <w:rPr>
          <w:rFonts w:hint="eastAsia"/>
          <w:lang w:val="en-US" w:eastAsia="zh-CN"/>
        </w:rPr>
        <w:t>质量指标</w:t>
      </w:r>
    </w:p>
    <w:p w14:paraId="48327EEA">
      <w:pPr>
        <w:pStyle w:val="24"/>
        <w:bidi w:val="0"/>
        <w:rPr>
          <w:rFonts w:hint="default"/>
        </w:rPr>
      </w:pPr>
      <w:r>
        <w:rPr>
          <w:rFonts w:hint="default"/>
          <w:lang w:val="en-US" w:eastAsia="zh-CN"/>
        </w:rPr>
        <w:t>萍乡两头乌猪的质量指标见表2</w:t>
      </w:r>
      <w:r>
        <w:rPr>
          <w:rFonts w:hint="default"/>
        </w:rPr>
        <w:t>。</w:t>
      </w:r>
    </w:p>
    <w:p w14:paraId="5FBD6A87">
      <w:pPr>
        <w:pStyle w:val="24"/>
        <w:bidi w:val="0"/>
        <w:rPr>
          <w:rFonts w:hint="default"/>
        </w:rPr>
      </w:pPr>
    </w:p>
    <w:p w14:paraId="36221449">
      <w:pPr>
        <w:pStyle w:val="24"/>
        <w:bidi w:val="0"/>
        <w:rPr>
          <w:rFonts w:hint="default"/>
        </w:rPr>
      </w:pPr>
    </w:p>
    <w:p w14:paraId="422FCA3C">
      <w:pPr>
        <w:pStyle w:val="132"/>
        <w:bidi w:val="0"/>
        <w:rPr>
          <w:rFonts w:hint="eastAsia"/>
          <w:lang w:eastAsia="en-US"/>
        </w:rPr>
      </w:pPr>
      <w:r>
        <w:rPr>
          <w:rFonts w:hint="eastAsia"/>
          <w:lang w:val="en-US" w:eastAsia="en-US"/>
        </w:rPr>
        <w:t>萍乡两头乌猪质量指标</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0"/>
        <w:gridCol w:w="4821"/>
        <w:gridCol w:w="1859"/>
      </w:tblGrid>
      <w:tr w14:paraId="72AB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0" w:type="dxa"/>
            <w:noWrap w:val="0"/>
            <w:vAlign w:val="top"/>
          </w:tcPr>
          <w:p w14:paraId="5CCB63A0">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项目</w:t>
            </w:r>
          </w:p>
        </w:tc>
        <w:tc>
          <w:tcPr>
            <w:tcW w:w="4821" w:type="dxa"/>
            <w:noWrap w:val="0"/>
            <w:vAlign w:val="top"/>
          </w:tcPr>
          <w:p w14:paraId="0287DEB2">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质量指标</w:t>
            </w:r>
          </w:p>
        </w:tc>
        <w:tc>
          <w:tcPr>
            <w:tcW w:w="1859" w:type="dxa"/>
            <w:noWrap w:val="0"/>
            <w:vAlign w:val="top"/>
          </w:tcPr>
          <w:p w14:paraId="1C3976D6">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检验方法</w:t>
            </w:r>
          </w:p>
        </w:tc>
      </w:tr>
      <w:tr w14:paraId="06DD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890" w:type="dxa"/>
            <w:noWrap w:val="0"/>
            <w:vAlign w:val="center"/>
          </w:tcPr>
          <w:p w14:paraId="7640422E">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油酸</w:t>
            </w:r>
            <w:r>
              <w:rPr>
                <w:rFonts w:hint="eastAsia" w:cs="Times New Roman"/>
                <w:color w:val="auto"/>
                <w:sz w:val="21"/>
                <w:szCs w:val="18"/>
                <w:highlight w:val="none"/>
                <w:vertAlign w:val="baseline"/>
                <w:lang w:val="en-US" w:eastAsia="zh-CN" w:bidi="ar-SA"/>
              </w:rPr>
              <w:t>(C18:1)</w:t>
            </w:r>
            <w:r>
              <w:rPr>
                <w:rFonts w:hint="eastAsia" w:ascii="Times New Roman" w:hAnsi="Times New Roman" w:eastAsia="宋体" w:cs="Times New Roman"/>
                <w:color w:val="auto"/>
                <w:sz w:val="21"/>
                <w:szCs w:val="18"/>
                <w:highlight w:val="none"/>
                <w:vertAlign w:val="baseline"/>
                <w:lang w:val="en-US" w:eastAsia="zh-CN" w:bidi="ar-SA"/>
              </w:rPr>
              <w:t>/</w:t>
            </w:r>
            <w:r>
              <w:rPr>
                <w:rFonts w:hint="default" w:ascii="Times New Roman" w:hAnsi="Times New Roman" w:eastAsia="宋体" w:cs="Times New Roman"/>
                <w:color w:val="auto"/>
                <w:sz w:val="21"/>
                <w:szCs w:val="18"/>
                <w:highlight w:val="none"/>
                <w:vertAlign w:val="baseline"/>
                <w:lang w:val="en-US" w:eastAsia="zh-CN" w:bidi="ar-SA"/>
              </w:rPr>
              <w:t>%</w:t>
            </w:r>
          </w:p>
        </w:tc>
        <w:tc>
          <w:tcPr>
            <w:tcW w:w="4821" w:type="dxa"/>
            <w:noWrap w:val="0"/>
            <w:vAlign w:val="top"/>
          </w:tcPr>
          <w:p w14:paraId="2C5BED1A">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≥44.0</w:t>
            </w:r>
            <w:r>
              <w:rPr>
                <w:rFonts w:hint="eastAsia" w:ascii="Times New Roman" w:hAnsi="Times New Roman" w:eastAsia="宋体" w:cs="Times New Roman"/>
                <w:color w:val="auto"/>
                <w:sz w:val="21"/>
                <w:szCs w:val="18"/>
                <w:highlight w:val="none"/>
                <w:vertAlign w:val="baseline"/>
                <w:lang w:val="en-US" w:eastAsia="zh-CN" w:bidi="ar-SA"/>
              </w:rPr>
              <w:t>0</w:t>
            </w:r>
          </w:p>
        </w:tc>
        <w:tc>
          <w:tcPr>
            <w:tcW w:w="1859" w:type="dxa"/>
            <w:vMerge w:val="restart"/>
            <w:noWrap w:val="0"/>
            <w:vAlign w:val="center"/>
          </w:tcPr>
          <w:p w14:paraId="00AA5DCD">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GB 5009.</w:t>
            </w:r>
            <w:r>
              <w:rPr>
                <w:rFonts w:hint="eastAsia" w:cs="Times New Roman"/>
                <w:color w:val="auto"/>
                <w:sz w:val="21"/>
                <w:szCs w:val="18"/>
                <w:highlight w:val="none"/>
                <w:vertAlign w:val="baseline"/>
                <w:lang w:val="en-US" w:eastAsia="zh-CN" w:bidi="ar-SA"/>
              </w:rPr>
              <w:t>168</w:t>
            </w:r>
          </w:p>
        </w:tc>
      </w:tr>
      <w:tr w14:paraId="6064E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0" w:type="dxa"/>
            <w:noWrap w:val="0"/>
            <w:vAlign w:val="top"/>
          </w:tcPr>
          <w:p w14:paraId="30512B80">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亚油酸</w:t>
            </w:r>
            <w:r>
              <w:rPr>
                <w:rFonts w:hint="eastAsia" w:cs="Times New Roman"/>
                <w:color w:val="auto"/>
                <w:sz w:val="21"/>
                <w:szCs w:val="18"/>
                <w:highlight w:val="none"/>
                <w:vertAlign w:val="baseline"/>
                <w:lang w:val="en-US" w:eastAsia="zh-CN" w:bidi="ar-SA"/>
              </w:rPr>
              <w:t>(C18:2)</w:t>
            </w:r>
            <w:r>
              <w:rPr>
                <w:rFonts w:hint="eastAsia" w:ascii="Times New Roman" w:hAnsi="Times New Roman" w:eastAsia="宋体" w:cs="Times New Roman"/>
                <w:color w:val="auto"/>
                <w:sz w:val="21"/>
                <w:szCs w:val="18"/>
                <w:highlight w:val="none"/>
                <w:vertAlign w:val="baseline"/>
                <w:lang w:val="en-US" w:eastAsia="zh-CN" w:bidi="ar-SA"/>
              </w:rPr>
              <w:t>/</w:t>
            </w:r>
            <w:r>
              <w:rPr>
                <w:rFonts w:hint="default" w:ascii="Times New Roman" w:hAnsi="Times New Roman" w:eastAsia="宋体" w:cs="Times New Roman"/>
                <w:color w:val="auto"/>
                <w:sz w:val="21"/>
                <w:szCs w:val="18"/>
                <w:highlight w:val="none"/>
                <w:vertAlign w:val="baseline"/>
                <w:lang w:val="en-US" w:eastAsia="zh-CN" w:bidi="ar-SA"/>
              </w:rPr>
              <w:t>%</w:t>
            </w:r>
          </w:p>
        </w:tc>
        <w:tc>
          <w:tcPr>
            <w:tcW w:w="4821" w:type="dxa"/>
            <w:noWrap w:val="0"/>
            <w:vAlign w:val="top"/>
          </w:tcPr>
          <w:p w14:paraId="7AECC98B">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≥15.0</w:t>
            </w:r>
            <w:r>
              <w:rPr>
                <w:rFonts w:hint="eastAsia" w:ascii="Times New Roman" w:hAnsi="Times New Roman" w:eastAsia="宋体" w:cs="Times New Roman"/>
                <w:color w:val="auto"/>
                <w:sz w:val="21"/>
                <w:szCs w:val="18"/>
                <w:highlight w:val="none"/>
                <w:vertAlign w:val="baseline"/>
                <w:lang w:val="en-US" w:eastAsia="zh-CN" w:bidi="ar-SA"/>
              </w:rPr>
              <w:t>0</w:t>
            </w:r>
          </w:p>
        </w:tc>
        <w:tc>
          <w:tcPr>
            <w:tcW w:w="1859" w:type="dxa"/>
            <w:vMerge w:val="continue"/>
            <w:noWrap w:val="0"/>
            <w:vAlign w:val="top"/>
          </w:tcPr>
          <w:p w14:paraId="63A35F14">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p>
        </w:tc>
      </w:tr>
      <w:tr w14:paraId="23B1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0" w:type="dxa"/>
            <w:noWrap w:val="0"/>
            <w:vAlign w:val="top"/>
          </w:tcPr>
          <w:p w14:paraId="5D5A45E4">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亚麻酸(C</w:t>
            </w:r>
            <w:r>
              <w:rPr>
                <w:rFonts w:hint="eastAsia" w:cs="Times New Roman"/>
                <w:color w:val="auto"/>
                <w:sz w:val="21"/>
                <w:szCs w:val="18"/>
                <w:highlight w:val="none"/>
                <w:vertAlign w:val="baseline"/>
                <w:lang w:val="en-US" w:eastAsia="zh-CN" w:bidi="ar-SA"/>
              </w:rPr>
              <w:t>18</w:t>
            </w:r>
            <w:r>
              <w:rPr>
                <w:rFonts w:hint="default" w:ascii="Times New Roman" w:hAnsi="Times New Roman" w:eastAsia="宋体" w:cs="Times New Roman"/>
                <w:color w:val="auto"/>
                <w:sz w:val="21"/>
                <w:szCs w:val="18"/>
                <w:highlight w:val="none"/>
                <w:vertAlign w:val="baseline"/>
                <w:lang w:val="en-US" w:eastAsia="zh-CN" w:bidi="ar-SA"/>
              </w:rPr>
              <w:t>:</w:t>
            </w:r>
            <w:r>
              <w:rPr>
                <w:rFonts w:hint="eastAsia" w:cs="Times New Roman"/>
                <w:color w:val="auto"/>
                <w:sz w:val="21"/>
                <w:szCs w:val="18"/>
                <w:highlight w:val="none"/>
                <w:vertAlign w:val="baseline"/>
                <w:lang w:val="en-US" w:eastAsia="zh-CN" w:bidi="ar-SA"/>
              </w:rPr>
              <w:t>3</w:t>
            </w:r>
            <w:r>
              <w:rPr>
                <w:rFonts w:hint="default" w:ascii="Times New Roman" w:hAnsi="Times New Roman" w:eastAsia="宋体" w:cs="Times New Roman"/>
                <w:color w:val="auto"/>
                <w:sz w:val="21"/>
                <w:szCs w:val="18"/>
                <w:highlight w:val="none"/>
                <w:vertAlign w:val="baseline"/>
                <w:lang w:val="en-US" w:eastAsia="zh-CN" w:bidi="ar-SA"/>
              </w:rPr>
              <w:t>)</w:t>
            </w:r>
            <w:r>
              <w:rPr>
                <w:rFonts w:hint="eastAsia" w:ascii="Times New Roman" w:hAnsi="Times New Roman" w:eastAsia="宋体" w:cs="Times New Roman"/>
                <w:color w:val="auto"/>
                <w:sz w:val="21"/>
                <w:szCs w:val="18"/>
                <w:highlight w:val="none"/>
                <w:vertAlign w:val="baseline"/>
                <w:lang w:val="en-US" w:eastAsia="zh-CN" w:bidi="ar-SA"/>
              </w:rPr>
              <w:t>/</w:t>
            </w:r>
            <w:r>
              <w:rPr>
                <w:rFonts w:hint="default" w:ascii="Times New Roman" w:hAnsi="Times New Roman" w:eastAsia="宋体" w:cs="Times New Roman"/>
                <w:color w:val="auto"/>
                <w:sz w:val="21"/>
                <w:szCs w:val="18"/>
                <w:highlight w:val="none"/>
                <w:vertAlign w:val="baseline"/>
                <w:lang w:val="en-US" w:eastAsia="zh-CN" w:bidi="ar-SA"/>
              </w:rPr>
              <w:t>%</w:t>
            </w:r>
          </w:p>
        </w:tc>
        <w:tc>
          <w:tcPr>
            <w:tcW w:w="4821" w:type="dxa"/>
            <w:noWrap w:val="0"/>
            <w:vAlign w:val="top"/>
          </w:tcPr>
          <w:p w14:paraId="00AC9E3B">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≥0.22</w:t>
            </w:r>
          </w:p>
        </w:tc>
        <w:tc>
          <w:tcPr>
            <w:tcW w:w="1859" w:type="dxa"/>
            <w:vMerge w:val="continue"/>
            <w:noWrap w:val="0"/>
            <w:vAlign w:val="top"/>
          </w:tcPr>
          <w:p w14:paraId="2561DB80">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p>
        </w:tc>
      </w:tr>
      <w:tr w14:paraId="75C31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0" w:type="dxa"/>
            <w:noWrap w:val="0"/>
            <w:vAlign w:val="top"/>
          </w:tcPr>
          <w:p w14:paraId="731DF57C">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谷氨酸</w:t>
            </w:r>
            <w:r>
              <w:rPr>
                <w:rFonts w:hint="eastAsia" w:cs="Times New Roman"/>
                <w:color w:val="auto"/>
                <w:sz w:val="21"/>
                <w:szCs w:val="18"/>
                <w:highlight w:val="none"/>
                <w:vertAlign w:val="baseline"/>
                <w:lang w:val="en-US" w:eastAsia="zh-CN" w:bidi="ar-SA"/>
              </w:rPr>
              <w:t>/</w:t>
            </w:r>
            <w:r>
              <w:rPr>
                <w:rFonts w:hint="default" w:ascii="Times New Roman" w:hAnsi="Times New Roman" w:eastAsia="宋体" w:cs="Times New Roman"/>
                <w:color w:val="auto"/>
                <w:sz w:val="21"/>
                <w:szCs w:val="18"/>
                <w:highlight w:val="none"/>
                <w:vertAlign w:val="baseline"/>
                <w:lang w:val="en-US" w:eastAsia="zh-CN" w:bidi="ar-SA"/>
              </w:rPr>
              <w:t>（g/100g）</w:t>
            </w:r>
          </w:p>
        </w:tc>
        <w:tc>
          <w:tcPr>
            <w:tcW w:w="4821" w:type="dxa"/>
            <w:noWrap w:val="0"/>
            <w:vAlign w:val="top"/>
          </w:tcPr>
          <w:p w14:paraId="2957B34E">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≥2.44</w:t>
            </w:r>
          </w:p>
        </w:tc>
        <w:tc>
          <w:tcPr>
            <w:tcW w:w="1859" w:type="dxa"/>
            <w:vMerge w:val="restart"/>
            <w:noWrap w:val="0"/>
            <w:vAlign w:val="center"/>
          </w:tcPr>
          <w:p w14:paraId="559CC13D">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GB 5009.124</w:t>
            </w:r>
          </w:p>
        </w:tc>
      </w:tr>
      <w:tr w14:paraId="2932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0" w:type="dxa"/>
            <w:noWrap w:val="0"/>
            <w:vAlign w:val="top"/>
          </w:tcPr>
          <w:p w14:paraId="79C5A1A7">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丙氨酸</w:t>
            </w:r>
            <w:r>
              <w:rPr>
                <w:rFonts w:hint="eastAsia" w:cs="Times New Roman"/>
                <w:color w:val="auto"/>
                <w:sz w:val="21"/>
                <w:szCs w:val="18"/>
                <w:highlight w:val="none"/>
                <w:vertAlign w:val="baseline"/>
                <w:lang w:val="en-US" w:eastAsia="zh-CN" w:bidi="ar-SA"/>
              </w:rPr>
              <w:t>/</w:t>
            </w:r>
            <w:r>
              <w:rPr>
                <w:rFonts w:hint="default" w:ascii="Times New Roman" w:hAnsi="Times New Roman" w:eastAsia="宋体" w:cs="Times New Roman"/>
                <w:color w:val="auto"/>
                <w:sz w:val="21"/>
                <w:szCs w:val="18"/>
                <w:highlight w:val="none"/>
                <w:vertAlign w:val="baseline"/>
                <w:lang w:val="en-US" w:eastAsia="zh-CN" w:bidi="ar-SA"/>
              </w:rPr>
              <w:t>（g/100g）</w:t>
            </w:r>
          </w:p>
        </w:tc>
        <w:tc>
          <w:tcPr>
            <w:tcW w:w="4821" w:type="dxa"/>
            <w:noWrap w:val="0"/>
            <w:vAlign w:val="top"/>
          </w:tcPr>
          <w:p w14:paraId="0483C33E">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r>
              <w:rPr>
                <w:rFonts w:hint="default" w:ascii="Times New Roman" w:hAnsi="Times New Roman" w:eastAsia="宋体" w:cs="Times New Roman"/>
                <w:color w:val="auto"/>
                <w:sz w:val="21"/>
                <w:szCs w:val="18"/>
                <w:highlight w:val="none"/>
                <w:vertAlign w:val="baseline"/>
                <w:lang w:val="en-US" w:eastAsia="zh-CN" w:bidi="ar-SA"/>
              </w:rPr>
              <w:t>≥0.81</w:t>
            </w:r>
          </w:p>
        </w:tc>
        <w:tc>
          <w:tcPr>
            <w:tcW w:w="1859" w:type="dxa"/>
            <w:vMerge w:val="continue"/>
            <w:noWrap w:val="0"/>
            <w:vAlign w:val="top"/>
          </w:tcPr>
          <w:p w14:paraId="5CFADAAF">
            <w:pPr>
              <w:autoSpaceDE w:val="0"/>
              <w:autoSpaceDN w:val="0"/>
              <w:ind w:left="0" w:leftChars="0" w:firstLine="0" w:firstLineChars="0"/>
              <w:jc w:val="center"/>
              <w:rPr>
                <w:rFonts w:hint="default" w:ascii="Times New Roman" w:hAnsi="Times New Roman" w:eastAsia="宋体" w:cs="Times New Roman"/>
                <w:color w:val="auto"/>
                <w:sz w:val="21"/>
                <w:szCs w:val="18"/>
                <w:highlight w:val="none"/>
                <w:vertAlign w:val="baseline"/>
                <w:lang w:val="en-US" w:eastAsia="zh-CN" w:bidi="ar-SA"/>
              </w:rPr>
            </w:pPr>
          </w:p>
        </w:tc>
      </w:tr>
    </w:tbl>
    <w:p w14:paraId="44CEA43A">
      <w:pPr>
        <w:pStyle w:val="48"/>
        <w:bidi w:val="0"/>
        <w:rPr>
          <w:rFonts w:hint="eastAsia"/>
        </w:rPr>
      </w:pPr>
      <w:r>
        <w:rPr>
          <w:rFonts w:hint="eastAsia"/>
          <w:lang w:val="en-US" w:eastAsia="zh-CN"/>
        </w:rPr>
        <w:t>安全指标</w:t>
      </w:r>
    </w:p>
    <w:p w14:paraId="0231DA83">
      <w:pPr>
        <w:pStyle w:val="24"/>
        <w:bidi w:val="0"/>
        <w:rPr>
          <w:rFonts w:hint="default" w:ascii="Times New Roman" w:hAnsi="Times New Roman" w:cs="Times New Roman"/>
          <w:lang w:val="en-US" w:eastAsia="zh-CN"/>
        </w:rPr>
      </w:pPr>
      <w:r>
        <w:rPr>
          <w:rFonts w:hint="default" w:ascii="Times New Roman" w:hAnsi="Times New Roman" w:cs="Times New Roman"/>
          <w:lang w:val="en-US" w:eastAsia="zh-CN"/>
        </w:rPr>
        <w:t>符合GB 2707及其它食品安全标准、相关法律法规及</w:t>
      </w:r>
      <w:r>
        <w:rPr>
          <w:rFonts w:hint="default" w:ascii="Times New Roman" w:hAnsi="Times New Roman" w:cs="Times New Roman"/>
        </w:rPr>
        <w:t>政策</w:t>
      </w:r>
      <w:r>
        <w:rPr>
          <w:rFonts w:hint="default" w:ascii="Times New Roman" w:hAnsi="Times New Roman" w:cs="Times New Roman"/>
          <w:lang w:val="en-US" w:eastAsia="zh-CN"/>
        </w:rPr>
        <w:t>并按相应要求执行。</w:t>
      </w:r>
    </w:p>
    <w:p w14:paraId="251E96F8">
      <w:pPr>
        <w:pStyle w:val="48"/>
        <w:bidi w:val="0"/>
        <w:rPr>
          <w:rFonts w:hint="eastAsia"/>
        </w:rPr>
      </w:pPr>
      <w:r>
        <w:rPr>
          <w:rFonts w:hint="eastAsia"/>
        </w:rPr>
        <w:t>净含量</w:t>
      </w:r>
    </w:p>
    <w:p w14:paraId="422B8F17">
      <w:pPr>
        <w:pStyle w:val="24"/>
        <w:bidi w:val="0"/>
      </w:pPr>
      <w:r>
        <w:rPr>
          <w:rFonts w:hint="default"/>
          <w:lang w:val="en-US" w:eastAsia="zh-CN"/>
        </w:rPr>
        <w:t>符合国家市场监督管理总局</w:t>
      </w:r>
      <w:r>
        <w:rPr>
          <w:rFonts w:hint="eastAsia"/>
          <w:lang w:val="en-US" w:eastAsia="zh-CN"/>
        </w:rPr>
        <w:t>〔2023〕70号</w:t>
      </w:r>
      <w:r>
        <w:rPr>
          <w:rFonts w:hint="default"/>
          <w:lang w:val="en-US" w:eastAsia="zh-CN"/>
        </w:rPr>
        <w:t>令</w:t>
      </w:r>
      <w:r>
        <w:rPr>
          <w:rFonts w:hint="default"/>
        </w:rPr>
        <w:t>《定量包装商品计量监督管理办法》</w:t>
      </w:r>
      <w:r>
        <w:rPr>
          <w:rFonts w:hint="default"/>
          <w:lang w:val="en-US" w:eastAsia="zh-CN"/>
        </w:rPr>
        <w:t>的规定并按</w:t>
      </w:r>
      <w:r>
        <w:rPr>
          <w:rFonts w:hint="default"/>
        </w:rPr>
        <w:t>JJF 1070</w:t>
      </w:r>
      <w:r>
        <w:rPr>
          <w:rFonts w:hint="default"/>
          <w:lang w:val="en-US" w:eastAsia="zh-CN"/>
        </w:rPr>
        <w:t>执行</w:t>
      </w:r>
      <w:r>
        <w:rPr>
          <w:rFonts w:hint="default"/>
        </w:rPr>
        <w:t>。</w:t>
      </w:r>
    </w:p>
    <w:p w14:paraId="36F85B6A">
      <w:pPr>
        <w:pStyle w:val="51"/>
        <w:bidi w:val="0"/>
        <w:rPr>
          <w:rFonts w:hint="default"/>
          <w:lang w:val="en-US" w:eastAsia="zh-CN"/>
        </w:rPr>
      </w:pPr>
      <w:bookmarkStart w:id="56" w:name="_Toc27499"/>
      <w:r>
        <w:rPr>
          <w:rFonts w:hint="eastAsia"/>
          <w:lang w:val="en-US" w:eastAsia="zh-CN"/>
        </w:rPr>
        <w:t>检验</w:t>
      </w:r>
      <w:bookmarkEnd w:id="56"/>
      <w:r>
        <w:rPr>
          <w:rFonts w:hint="eastAsia"/>
          <w:lang w:val="en-US" w:eastAsia="zh-CN"/>
        </w:rPr>
        <w:t>规则</w:t>
      </w:r>
    </w:p>
    <w:p w14:paraId="17C4220B">
      <w:pPr>
        <w:pStyle w:val="48"/>
        <w:bidi w:val="0"/>
        <w:rPr>
          <w:rFonts w:hint="default"/>
          <w:lang w:val="en-US" w:eastAsia="zh-CN"/>
        </w:rPr>
      </w:pPr>
      <w:r>
        <w:rPr>
          <w:rFonts w:hint="eastAsia"/>
          <w:lang w:val="en-US" w:eastAsia="zh-CN"/>
        </w:rPr>
        <w:t>组批</w:t>
      </w:r>
    </w:p>
    <w:p w14:paraId="392B379A">
      <w:pPr>
        <w:pStyle w:val="24"/>
        <w:bidi w:val="0"/>
        <w:rPr>
          <w:rFonts w:hint="eastAsia"/>
          <w:lang w:val="en-US" w:eastAsia="zh-CN"/>
        </w:rPr>
      </w:pPr>
      <w:r>
        <w:rPr>
          <w:rFonts w:hint="default"/>
          <w:lang w:val="en-US" w:eastAsia="zh-CN"/>
        </w:rPr>
        <w:t>以来源于同一地区、同一养殖基地、同一时间屠宰分割的猪肉为一批。</w:t>
      </w:r>
    </w:p>
    <w:p w14:paraId="341A1994">
      <w:pPr>
        <w:pStyle w:val="48"/>
        <w:bidi w:val="0"/>
        <w:rPr>
          <w:rFonts w:hint="eastAsia"/>
          <w:lang w:val="en-US" w:eastAsia="zh-CN"/>
        </w:rPr>
      </w:pPr>
      <w:r>
        <w:rPr>
          <w:rFonts w:hint="eastAsia"/>
          <w:lang w:val="en-US" w:eastAsia="zh-CN"/>
        </w:rPr>
        <w:t>抽样方法和数量</w:t>
      </w:r>
    </w:p>
    <w:p w14:paraId="49462BFE">
      <w:pPr>
        <w:pStyle w:val="24"/>
        <w:bidi w:val="0"/>
        <w:rPr>
          <w:rFonts w:hint="eastAsia"/>
          <w:lang w:val="en-US" w:eastAsia="zh-CN"/>
        </w:rPr>
      </w:pPr>
      <w:r>
        <w:rPr>
          <w:rFonts w:hint="default" w:ascii="Times New Roman" w:hAnsi="Times New Roman" w:cs="Times New Roman"/>
          <w:lang w:val="en-US" w:eastAsia="zh-CN"/>
        </w:rPr>
        <w:t>按GB/T 9959.3的规定执行，抽样数量（可食用部分）不少于2kg，1/2为检验样品，1/2为备检样品。</w:t>
      </w:r>
    </w:p>
    <w:p w14:paraId="0645B6A6">
      <w:pPr>
        <w:pStyle w:val="48"/>
        <w:bidi w:val="0"/>
        <w:rPr>
          <w:rFonts w:hint="eastAsia"/>
          <w:lang w:val="en-US" w:eastAsia="zh-CN"/>
        </w:rPr>
      </w:pPr>
      <w:r>
        <w:rPr>
          <w:rFonts w:hint="eastAsia"/>
          <w:lang w:val="en-US" w:eastAsia="zh-CN"/>
        </w:rPr>
        <w:t>出厂检验</w:t>
      </w:r>
    </w:p>
    <w:p w14:paraId="2375B513">
      <w:pPr>
        <w:pStyle w:val="69"/>
        <w:bidi w:val="0"/>
        <w:rPr>
          <w:rFonts w:hint="eastAsia"/>
          <w:lang w:val="en-US" w:eastAsia="zh-CN"/>
        </w:rPr>
      </w:pPr>
      <w:r>
        <w:rPr>
          <w:rFonts w:hint="eastAsia"/>
          <w:lang w:val="en-US" w:eastAsia="zh-CN"/>
        </w:rPr>
        <w:t>产品出厂前，应由生产单位的检验部门按标准逐批进行检验，经检验合格后，签发检验合格证(或产品检验报告)，方可出厂。</w:t>
      </w:r>
    </w:p>
    <w:p w14:paraId="666EE5C4">
      <w:pPr>
        <w:pStyle w:val="69"/>
        <w:bidi w:val="0"/>
        <w:rPr>
          <w:rFonts w:hint="eastAsia"/>
          <w:lang w:val="en-US" w:eastAsia="zh-CN"/>
        </w:rPr>
      </w:pPr>
      <w:r>
        <w:rPr>
          <w:rFonts w:hint="eastAsia"/>
          <w:lang w:val="en-US" w:eastAsia="zh-CN"/>
        </w:rPr>
        <w:t>出厂检验项目包括：净含量、感官。</w:t>
      </w:r>
    </w:p>
    <w:p w14:paraId="22DB0F09">
      <w:pPr>
        <w:pStyle w:val="48"/>
        <w:bidi w:val="0"/>
        <w:rPr>
          <w:rFonts w:hint="eastAsia"/>
          <w:lang w:val="en-US" w:eastAsia="zh-CN"/>
        </w:rPr>
      </w:pPr>
      <w:r>
        <w:rPr>
          <w:rFonts w:hint="eastAsia"/>
          <w:lang w:val="en-US" w:eastAsia="zh-CN"/>
        </w:rPr>
        <w:t>型式检验</w:t>
      </w:r>
    </w:p>
    <w:p w14:paraId="3A2FC0E2">
      <w:pPr>
        <w:pStyle w:val="24"/>
        <w:bidi w:val="0"/>
        <w:rPr>
          <w:rFonts w:hint="eastAsia"/>
          <w:lang w:val="en-US" w:eastAsia="zh-CN"/>
        </w:rPr>
      </w:pPr>
      <w:r>
        <w:rPr>
          <w:rFonts w:hint="eastAsia"/>
          <w:lang w:val="en-US" w:eastAsia="zh-CN"/>
        </w:rPr>
        <w:t>型式检验项目为本文件规定的全部项目。正常生产时每年至少进行一次型式检验，有下列情况之一时应进行型式检验:</w:t>
      </w:r>
    </w:p>
    <w:p w14:paraId="475997A2">
      <w:pPr>
        <w:pStyle w:val="65"/>
        <w:bidi w:val="0"/>
        <w:ind w:left="839" w:leftChars="0" w:hanging="419" w:firstLineChars="0"/>
        <w:rPr>
          <w:rFonts w:hint="eastAsia"/>
          <w:lang w:val="en-US" w:eastAsia="zh-CN"/>
        </w:rPr>
      </w:pPr>
      <w:r>
        <w:rPr>
          <w:rFonts w:hint="eastAsia"/>
          <w:lang w:val="en-US" w:eastAsia="zh-CN"/>
        </w:rPr>
        <w:t>猪种、饲养场所发生变动时；</w:t>
      </w:r>
    </w:p>
    <w:p w14:paraId="7B5E02DB">
      <w:pPr>
        <w:pStyle w:val="65"/>
        <w:bidi w:val="0"/>
        <w:ind w:left="839" w:leftChars="0" w:hanging="419" w:firstLineChars="0"/>
        <w:rPr>
          <w:rFonts w:hint="eastAsia"/>
          <w:lang w:val="en-US" w:eastAsia="zh-CN"/>
        </w:rPr>
      </w:pPr>
      <w:r>
        <w:rPr>
          <w:rFonts w:hint="eastAsia"/>
          <w:lang w:val="en-US" w:eastAsia="zh-CN"/>
        </w:rPr>
        <w:t>饲养方法或饲料配比有较大变化时；</w:t>
      </w:r>
    </w:p>
    <w:p w14:paraId="61364D63">
      <w:pPr>
        <w:pStyle w:val="65"/>
        <w:bidi w:val="0"/>
        <w:ind w:left="839" w:leftChars="0" w:hanging="419" w:firstLineChars="0"/>
        <w:rPr>
          <w:rFonts w:hint="eastAsia"/>
          <w:lang w:val="en-US" w:eastAsia="zh-CN"/>
        </w:rPr>
      </w:pPr>
      <w:r>
        <w:rPr>
          <w:rFonts w:hint="eastAsia"/>
          <w:lang w:val="en-US" w:eastAsia="zh-CN"/>
        </w:rPr>
        <w:t>出厂检验结果与上一次型式检验结果有较大差异时；</w:t>
      </w:r>
    </w:p>
    <w:p w14:paraId="3E98FB6F">
      <w:pPr>
        <w:pStyle w:val="65"/>
        <w:bidi w:val="0"/>
        <w:ind w:left="839" w:leftChars="0" w:hanging="419" w:firstLineChars="0"/>
        <w:rPr>
          <w:rFonts w:hint="eastAsia"/>
          <w:lang w:val="en-US" w:eastAsia="zh-CN"/>
        </w:rPr>
      </w:pPr>
      <w:r>
        <w:rPr>
          <w:rFonts w:hint="eastAsia"/>
          <w:lang w:val="en-US" w:eastAsia="zh-CN"/>
        </w:rPr>
        <w:t>申请使用地理标志专用标志时；</w:t>
      </w:r>
    </w:p>
    <w:p w14:paraId="5A2C45D7">
      <w:pPr>
        <w:pStyle w:val="65"/>
        <w:bidi w:val="0"/>
        <w:ind w:left="839" w:leftChars="0" w:hanging="419" w:firstLineChars="0"/>
        <w:rPr>
          <w:rFonts w:hint="eastAsia"/>
          <w:lang w:val="en-US" w:eastAsia="zh-CN"/>
        </w:rPr>
      </w:pPr>
      <w:r>
        <w:rPr>
          <w:rFonts w:hint="eastAsia"/>
          <w:lang w:val="en-US" w:eastAsia="zh-CN"/>
        </w:rPr>
        <w:t>质量监督等有关行政主管部门提出型式检验要求时。</w:t>
      </w:r>
    </w:p>
    <w:p w14:paraId="564F95C9">
      <w:pPr>
        <w:pStyle w:val="48"/>
        <w:bidi w:val="0"/>
        <w:rPr>
          <w:rFonts w:hint="eastAsia"/>
          <w:lang w:val="en-US" w:eastAsia="zh-CN"/>
        </w:rPr>
      </w:pPr>
      <w:r>
        <w:rPr>
          <w:rFonts w:hint="eastAsia"/>
          <w:lang w:val="en-US" w:eastAsia="zh-CN"/>
        </w:rPr>
        <w:t>判定规则</w:t>
      </w:r>
    </w:p>
    <w:p w14:paraId="6D90DC82">
      <w:pPr>
        <w:pStyle w:val="69"/>
        <w:bidi w:val="0"/>
        <w:rPr>
          <w:rFonts w:hint="eastAsia"/>
          <w:lang w:val="en-US" w:eastAsia="zh-CN"/>
        </w:rPr>
      </w:pPr>
      <w:r>
        <w:rPr>
          <w:rFonts w:hint="eastAsia"/>
          <w:lang w:val="en-US" w:eastAsia="zh-CN"/>
        </w:rPr>
        <w:t>检验项目全部符合要求的，则判定该批次产品为合格品。</w:t>
      </w:r>
    </w:p>
    <w:p w14:paraId="516C9DF1">
      <w:pPr>
        <w:pStyle w:val="69"/>
        <w:bidi w:val="0"/>
        <w:rPr>
          <w:rFonts w:hint="eastAsia"/>
          <w:lang w:val="en-US" w:eastAsia="zh-CN"/>
        </w:rPr>
      </w:pPr>
      <w:r>
        <w:rPr>
          <w:rFonts w:hint="eastAsia"/>
          <w:lang w:val="en-US" w:eastAsia="zh-CN"/>
        </w:rPr>
        <w:t>检验项目如有不合格项，应在同批产品中加倍抽样进行复检，复检结果如仍有不合格项，则判该批产品为不合格。</w:t>
      </w:r>
    </w:p>
    <w:p w14:paraId="46622F63">
      <w:pPr>
        <w:pStyle w:val="69"/>
        <w:bidi w:val="0"/>
        <w:rPr>
          <w:rFonts w:hint="eastAsia"/>
        </w:rPr>
      </w:pPr>
      <w:r>
        <w:rPr>
          <w:rFonts w:hint="eastAsia"/>
          <w:lang w:val="en-US" w:eastAsia="zh-CN"/>
        </w:rPr>
        <w:t>留样对不合格项目进行复检，若仍不合格，则判定该批次品为不合格。</w:t>
      </w:r>
    </w:p>
    <w:p w14:paraId="77008528">
      <w:pPr>
        <w:pStyle w:val="51"/>
        <w:bidi w:val="0"/>
        <w:rPr>
          <w:rFonts w:hint="eastAsia"/>
        </w:rPr>
      </w:pPr>
      <w:bookmarkStart w:id="57" w:name="_Toc5620"/>
      <w:r>
        <w:rPr>
          <w:rFonts w:hint="eastAsia"/>
        </w:rPr>
        <w:t>标签标志、包装、运输、贮存</w:t>
      </w:r>
      <w:bookmarkEnd w:id="57"/>
    </w:p>
    <w:p w14:paraId="40E197F9">
      <w:pPr>
        <w:pStyle w:val="48"/>
        <w:bidi w:val="0"/>
        <w:rPr>
          <w:rFonts w:hint="eastAsia"/>
        </w:rPr>
      </w:pPr>
      <w:r>
        <w:rPr>
          <w:rFonts w:hint="eastAsia"/>
        </w:rPr>
        <w:t>标签标志</w:t>
      </w:r>
    </w:p>
    <w:p w14:paraId="10EF7256">
      <w:pPr>
        <w:pStyle w:val="52"/>
        <w:bidi w:val="0"/>
        <w:rPr>
          <w:rFonts w:hint="eastAsia"/>
        </w:rPr>
      </w:pPr>
      <w:r>
        <w:rPr>
          <w:rFonts w:hint="eastAsia"/>
        </w:rPr>
        <w:t>产品标签标志</w:t>
      </w:r>
    </w:p>
    <w:p w14:paraId="1EFFDB92">
      <w:pPr>
        <w:pStyle w:val="24"/>
        <w:bidi w:val="0"/>
        <w:rPr>
          <w:rFonts w:hint="default" w:ascii="Times New Roman" w:hAnsi="Times New Roman" w:cs="Times New Roman"/>
        </w:rPr>
      </w:pPr>
      <w:r>
        <w:rPr>
          <w:rFonts w:hint="default" w:ascii="Times New Roman" w:hAnsi="Times New Roman" w:cs="Times New Roman"/>
        </w:rPr>
        <w:t>应符合GB/T 191、GB 7718和GB/T 6388的规定。</w:t>
      </w:r>
    </w:p>
    <w:p w14:paraId="3D48BA87">
      <w:pPr>
        <w:pStyle w:val="52"/>
        <w:bidi w:val="0"/>
        <w:rPr>
          <w:rFonts w:hint="eastAsia"/>
        </w:rPr>
      </w:pPr>
      <w:r>
        <w:rPr>
          <w:rFonts w:hint="eastAsia"/>
        </w:rPr>
        <w:t>地理标志专用标志</w:t>
      </w:r>
    </w:p>
    <w:p w14:paraId="593F5FA3">
      <w:pPr>
        <w:pStyle w:val="24"/>
        <w:bidi w:val="0"/>
        <w:rPr>
          <w:rFonts w:hint="eastAsia"/>
        </w:rPr>
      </w:pPr>
      <w:r>
        <w:rPr>
          <w:rFonts w:hint="eastAsia"/>
          <w:lang w:val="en-US" w:eastAsia="zh-CN"/>
        </w:rPr>
        <w:t>地理标志产品萍乡两头乌猪产地范围内生产者按照本文件生产并符合本文件要求的产品,如需使用地理标志专用标志，需向萍乡市知识产权行政主管部门提出申请，经省级知识产权行政主管部门初审合格，上报国家知识产权管理部门核准后，方可使用地理标志专用标志。地理标志专用标志的使用应符合地理标志专用标志相关管理要求，应在产品标签或包装物上标注地理标志产品名称及本文件的标准代号，并应同时使用地理标志专用标志，在地理标志专用标志的指定位置标注统一社会信用代码。</w:t>
      </w:r>
    </w:p>
    <w:p w14:paraId="421716AF">
      <w:pPr>
        <w:pStyle w:val="48"/>
        <w:bidi w:val="0"/>
        <w:rPr>
          <w:rFonts w:hint="eastAsia"/>
        </w:rPr>
      </w:pPr>
      <w:r>
        <w:rPr>
          <w:rFonts w:hint="eastAsia"/>
        </w:rPr>
        <w:t>包装</w:t>
      </w:r>
    </w:p>
    <w:p w14:paraId="3746D3EA">
      <w:pPr>
        <w:pStyle w:val="69"/>
        <w:bidi w:val="0"/>
        <w:rPr>
          <w:rFonts w:hint="eastAsia"/>
        </w:rPr>
      </w:pPr>
      <w:r>
        <w:rPr>
          <w:rFonts w:hint="eastAsia"/>
        </w:rPr>
        <w:t>内包装材料应符合国家食品包装材料相关安全标准、封口严密，包装牢固。</w:t>
      </w:r>
    </w:p>
    <w:p w14:paraId="5D3B87D0">
      <w:pPr>
        <w:pStyle w:val="69"/>
        <w:bidi w:val="0"/>
        <w:rPr>
          <w:rFonts w:hint="eastAsia"/>
        </w:rPr>
      </w:pPr>
      <w:r>
        <w:rPr>
          <w:rFonts w:hint="eastAsia"/>
        </w:rPr>
        <w:t>外包装应使用合格的包装材料，并符合相应的标准。</w:t>
      </w:r>
    </w:p>
    <w:p w14:paraId="3FC5A9B5">
      <w:pPr>
        <w:pStyle w:val="48"/>
        <w:bidi w:val="0"/>
        <w:rPr>
          <w:rFonts w:hint="eastAsia"/>
        </w:rPr>
      </w:pPr>
      <w:r>
        <w:rPr>
          <w:rFonts w:hint="eastAsia"/>
        </w:rPr>
        <w:t>运输、贮存</w:t>
      </w:r>
    </w:p>
    <w:p w14:paraId="3E36CC50">
      <w:pPr>
        <w:pStyle w:val="69"/>
        <w:bidi w:val="0"/>
        <w:rPr>
          <w:rFonts w:hint="default" w:ascii="Times New Roman" w:hAnsi="Times New Roman" w:cs="Times New Roman"/>
          <w:lang w:eastAsia="zh-CN"/>
        </w:rPr>
      </w:pPr>
      <w:r>
        <w:rPr>
          <w:rFonts w:hint="default" w:ascii="Times New Roman" w:hAnsi="Times New Roman" w:cs="Times New Roman"/>
          <w:lang w:val="en-US" w:eastAsia="zh-CN"/>
        </w:rPr>
        <w:t>运输应符合GB 20799的规定。</w:t>
      </w:r>
    </w:p>
    <w:p w14:paraId="53EDE75F">
      <w:pPr>
        <w:pStyle w:val="69"/>
        <w:bidi w:val="0"/>
        <w:rPr>
          <w:rFonts w:hint="default" w:ascii="Times New Roman" w:hAnsi="Times New Roman" w:cs="Times New Roman"/>
          <w:lang w:eastAsia="zh-CN"/>
        </w:rPr>
      </w:pPr>
      <w:r>
        <w:rPr>
          <w:rFonts w:hint="default" w:ascii="Times New Roman" w:hAnsi="Times New Roman" w:cs="Times New Roman"/>
          <w:lang w:val="en-US" w:eastAsia="zh-CN"/>
        </w:rPr>
        <w:t>鲜猪肉产品应在0 ℃～4 ℃条件下贮存。冻猪肉产品应在-18 ℃条件下贮存，不得与有毒、 有害、有异味、易挥发、易腐蚀、易串味的物品一同存放。</w:t>
      </w:r>
    </w:p>
    <w:p w14:paraId="726E07DB">
      <w:pPr>
        <w:pStyle w:val="69"/>
        <w:bidi w:val="0"/>
        <w:rPr>
          <w:rFonts w:hint="default" w:ascii="Times New Roman" w:hAnsi="Times New Roman" w:cs="Times New Roman"/>
        </w:rPr>
      </w:pPr>
      <w:r>
        <w:rPr>
          <w:rFonts w:hint="default" w:ascii="Times New Roman" w:hAnsi="Times New Roman" w:cs="Times New Roman"/>
          <w:lang w:val="en-US" w:eastAsia="zh-CN"/>
        </w:rPr>
        <w:t>储存库应保持清洁、整齐、通风，应防霉、除霉，定期除霜，符合国家有关食品安全要求，库内有防霉、防鼠、防虫、防火、防尘设施设备，定期消毒。</w:t>
      </w:r>
    </w:p>
    <w:p w14:paraId="47C13A86">
      <w:pPr>
        <w:pStyle w:val="51"/>
        <w:bidi w:val="0"/>
        <w:rPr>
          <w:rFonts w:hint="eastAsia"/>
        </w:rPr>
      </w:pPr>
      <w:r>
        <w:rPr>
          <w:rFonts w:hint="eastAsia"/>
        </w:rPr>
        <w:t>溯源管理</w:t>
      </w:r>
    </w:p>
    <w:p w14:paraId="103224C8">
      <w:pPr>
        <w:pStyle w:val="24"/>
        <w:bidi w:val="0"/>
        <w:rPr>
          <w:rFonts w:hint="default"/>
        </w:rPr>
      </w:pPr>
      <w:r>
        <w:rPr>
          <w:rFonts w:hint="default"/>
          <w:lang w:val="en-US" w:eastAsia="zh-CN"/>
        </w:rPr>
        <w:t>生产经营主体宜建立产品质量追溯系统，记录养殖、加工、运输、贮藏、销售等生产全过程的</w:t>
      </w:r>
      <w:r>
        <w:rPr>
          <w:rFonts w:hint="eastAsia"/>
          <w:lang w:val="en-US" w:eastAsia="zh-CN"/>
        </w:rPr>
        <w:t>主要</w:t>
      </w:r>
      <w:r>
        <w:rPr>
          <w:rFonts w:hint="default"/>
          <w:lang w:val="en-US" w:eastAsia="zh-CN"/>
        </w:rPr>
        <w:t>信息。</w:t>
      </w:r>
    </w:p>
    <w:p w14:paraId="67B28C5F">
      <w:pPr>
        <w:pStyle w:val="90"/>
        <w:bidi w:val="0"/>
        <w:rPr>
          <w:rFonts w:hint="eastAsia"/>
        </w:rPr>
      </w:pPr>
      <w:r>
        <w:rPr>
          <w:rFonts w:hint="eastAsia"/>
        </w:rPr>
        <w:br w:type="page"/>
      </w:r>
      <w:bookmarkStart w:id="58" w:name="_Toc14230"/>
      <w:bookmarkEnd w:id="58"/>
      <w:bookmarkStart w:id="59" w:name="_Toc21508"/>
      <w:bookmarkStart w:id="60" w:name="_Toc11265"/>
      <w:bookmarkStart w:id="61" w:name="_Toc3407"/>
      <w:r>
        <w:br w:type="textWrapping"/>
      </w:r>
      <w:r>
        <w:rPr>
          <w:rFonts w:hint="eastAsia"/>
          <w:lang w:eastAsia="zh-CN"/>
        </w:rPr>
        <w:t>（规范性附录）</w:t>
      </w:r>
      <w:r>
        <w:rPr>
          <w:rFonts w:hint="eastAsia"/>
          <w:lang w:eastAsia="zh-CN"/>
        </w:rPr>
        <w:br w:type="textWrapping"/>
      </w:r>
      <w:r>
        <w:rPr>
          <w:rFonts w:hint="eastAsia"/>
          <w:lang w:val="en-US" w:eastAsia="zh-CN"/>
        </w:rPr>
        <w:t>萍乡两头乌猪</w:t>
      </w:r>
      <w:r>
        <w:rPr>
          <w:rFonts w:hint="eastAsia"/>
          <w:lang w:eastAsia="zh-CN"/>
        </w:rPr>
        <w:t>地理标志产品产地范围</w:t>
      </w:r>
      <w:bookmarkEnd w:id="59"/>
      <w:bookmarkEnd w:id="60"/>
      <w:bookmarkEnd w:id="61"/>
    </w:p>
    <w:p w14:paraId="1564A6D3">
      <w:pPr>
        <w:pStyle w:val="24"/>
        <w:ind w:firstLine="0" w:firstLineChars="0"/>
        <w:jc w:val="center"/>
        <w:rPr>
          <w:rFonts w:hint="eastAsia" w:eastAsia="宋体"/>
          <w:color w:val="FFFF00"/>
          <w:highlight w:val="none"/>
          <w:lang w:eastAsia="zh-CN"/>
        </w:rPr>
      </w:pPr>
      <w:r>
        <w:rPr>
          <w:rFonts w:hint="eastAsia"/>
          <w:color w:val="auto"/>
          <w:lang w:val="en-US" w:eastAsia="zh-CN"/>
        </w:rPr>
        <w:drawing>
          <wp:inline distT="0" distB="0" distL="114300" distR="114300">
            <wp:extent cx="4627245" cy="6219825"/>
            <wp:effectExtent l="0" t="0" r="8255" b="3175"/>
            <wp:docPr id="10"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图片1"/>
                    <pic:cNvPicPr>
                      <a:picLocks noChangeAspect="1"/>
                    </pic:cNvPicPr>
                  </pic:nvPicPr>
                  <pic:blipFill>
                    <a:blip r:embed="rId7"/>
                    <a:stretch>
                      <a:fillRect/>
                    </a:stretch>
                  </pic:blipFill>
                  <pic:spPr>
                    <a:xfrm>
                      <a:off x="0" y="0"/>
                      <a:ext cx="4627245" cy="6219825"/>
                    </a:xfrm>
                    <a:prstGeom prst="rect">
                      <a:avLst/>
                    </a:prstGeom>
                    <a:noFill/>
                    <a:ln>
                      <a:noFill/>
                    </a:ln>
                  </pic:spPr>
                </pic:pic>
              </a:graphicData>
            </a:graphic>
          </wp:inline>
        </w:drawing>
      </w:r>
    </w:p>
    <w:p w14:paraId="3F05B44D">
      <w:pPr>
        <w:pStyle w:val="105"/>
        <w:spacing w:before="156" w:after="156"/>
        <w:rPr>
          <w:rFonts w:hint="eastAsia"/>
        </w:rPr>
      </w:pPr>
      <w:r>
        <w:rPr>
          <w:rFonts w:hint="eastAsia"/>
          <w:lang w:val="en-US" w:eastAsia="zh-CN"/>
        </w:rPr>
        <w:t>萍乡两头乌猪</w:t>
      </w:r>
      <w:r>
        <w:rPr>
          <w:rFonts w:hint="eastAsia"/>
        </w:rPr>
        <w:t>地理标志产品产地范围</w:t>
      </w:r>
      <w:r>
        <w:rPr>
          <w:rFonts w:hint="eastAsia"/>
          <w:lang w:eastAsia="zh-CN"/>
        </w:rPr>
        <w:t>图</w:t>
      </w:r>
    </w:p>
    <w:p w14:paraId="61963847">
      <w:pPr>
        <w:pStyle w:val="24"/>
        <w:ind w:firstLine="0" w:firstLineChars="0"/>
      </w:pPr>
      <w:bookmarkStart w:id="62" w:name="_Toc7008"/>
      <w:bookmarkEnd w:id="62"/>
    </w:p>
    <w:p w14:paraId="79F574FE">
      <w:pPr>
        <w:pStyle w:val="77"/>
        <w:bidi w:val="0"/>
        <w:rPr>
          <w:rFonts w:hint="eastAsia"/>
          <w:lang w:eastAsia="zh-CN"/>
        </w:rPr>
      </w:pPr>
      <w:bookmarkStart w:id="63" w:name="BKCKWX"/>
      <w:bookmarkStart w:id="64" w:name="_Toc30033"/>
      <w:bookmarkStart w:id="65" w:name="_Toc1513"/>
      <w:r>
        <w:rPr>
          <w:rFonts w:hint="eastAsia"/>
          <w:lang w:eastAsia="zh-CN"/>
        </w:rPr>
        <w:t>参 考 文 献</w:t>
      </w:r>
      <w:bookmarkEnd w:id="63"/>
      <w:bookmarkEnd w:id="64"/>
      <w:bookmarkEnd w:id="65"/>
    </w:p>
    <w:p w14:paraId="05854851">
      <w:pPr>
        <w:pStyle w:val="24"/>
        <w:rPr>
          <w:rFonts w:hint="default"/>
          <w:lang w:val="en-US" w:eastAsia="zh-CN"/>
        </w:rPr>
      </w:pPr>
      <w:r>
        <w:rPr>
          <w:rFonts w:hint="default" w:ascii="Times New Roman" w:hAnsi="Times New Roman" w:cs="Times New Roman"/>
          <w:lang w:val="en-US" w:eastAsia="zh-CN"/>
        </w:rPr>
        <w:t>[1]</w:t>
      </w:r>
      <w:r>
        <w:rPr>
          <w:rFonts w:hint="eastAsia"/>
          <w:lang w:val="en-US" w:eastAsia="zh-CN"/>
        </w:rPr>
        <w:t xml:space="preserve"> 地理标志产品保护办法（国家知识产权局第80号）</w:t>
      </w:r>
    </w:p>
    <w:p w14:paraId="7F555770">
      <w:pPr>
        <w:pStyle w:val="24"/>
        <w:rPr>
          <w:rFonts w:hint="default" w:ascii="Times New Roman" w:cs="Times New Roman"/>
          <w:lang w:val="en-US" w:eastAsia="zh-CN"/>
        </w:rPr>
      </w:pPr>
      <w:r>
        <w:rPr>
          <w:rFonts w:hint="eastAsia" w:ascii="Times New Roman" w:cs="Times New Roman"/>
          <w:lang w:val="en-US" w:eastAsia="zh-CN"/>
        </w:rPr>
        <w:t>[2] 地理标志专用标志使用管理办法（试行）（国家知识产权局公告第354号）</w:t>
      </w:r>
    </w:p>
    <w:p w14:paraId="5D040DFE">
      <w:pPr>
        <w:pStyle w:val="24"/>
        <w:rPr>
          <w:rFonts w:hint="default"/>
          <w:lang w:val="en-US" w:eastAsia="zh-CN"/>
        </w:rPr>
      </w:pPr>
      <w:r>
        <w:rPr>
          <w:rFonts w:hint="eastAsia" w:ascii="Times New Roman" w:cs="Times New Roman"/>
          <w:lang w:val="en-US" w:eastAsia="zh-CN"/>
        </w:rPr>
        <w:t xml:space="preserve">[3] </w:t>
      </w:r>
      <w:r>
        <w:rPr>
          <w:rFonts w:hint="default" w:ascii="Times New Roman" w:hAnsi="Times New Roman" w:cs="Times New Roman"/>
        </w:rPr>
        <w:t>定量包装商品计量监督管理办法</w:t>
      </w:r>
      <w:r>
        <w:rPr>
          <w:rFonts w:hint="eastAsia" w:ascii="Times New Roman" w:cs="Times New Roman"/>
          <w:lang w:eastAsia="zh-CN"/>
        </w:rPr>
        <w:t>（</w:t>
      </w:r>
      <w:r>
        <w:rPr>
          <w:rFonts w:hint="default" w:ascii="Times New Roman" w:hAnsi="Times New Roman" w:cs="Times New Roman"/>
          <w:lang w:val="en-US" w:eastAsia="zh-CN"/>
        </w:rPr>
        <w:t>国家市场监督管理总局令第70号</w:t>
      </w:r>
      <w:r>
        <w:rPr>
          <w:rFonts w:hint="eastAsia" w:ascii="Times New Roman" w:cs="Times New Roman"/>
          <w:lang w:val="en-US" w:eastAsia="zh-CN"/>
        </w:rPr>
        <w:t>）</w:t>
      </w:r>
    </w:p>
    <w:p w14:paraId="64C5AD3E">
      <w:pPr>
        <w:pStyle w:val="135"/>
        <w:spacing w:before="156" w:beforeLines="50" w:after="156" w:afterLines="50"/>
        <w:rPr>
          <w:rFonts w:hint="eastAsia"/>
        </w:rPr>
      </w:pPr>
      <w:r>
        <w:t>_________________________________</w:t>
      </w:r>
    </w:p>
    <w:sectPr>
      <w:footerReference r:id="rId5" w:type="default"/>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783AE">
    <w:pPr>
      <w:pStyle w:val="49"/>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2C5FD9">
                          <w:pPr>
                            <w:pStyle w:val="49"/>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1e/c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cWxO25x4Ocf388/f59/fSPL&#10;LE8foMasx4B5abjxAy7N7Ad0ZtaDijZ/kQ/BOIp7uogrh0REfrRarlYVhgTG5gvis6fnIUK6k96S&#10;bDQ04vSKqPx4D2lMnVNyNedvtTFlgsb95UDM7GG597HHbKVhN0yEdr49IZ8eB99Qh3tOifnoUNe8&#10;I7MRZ2M3G4cQ9b4rS5TrQfhwSNhE6S1XGGGnwjixwm7arrwSz+8l6+mP2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9Xv3LIAQAAmQMAAA4AAAAAAAAAAQAgAAAAHgEAAGRycy9lMm9Eb2Mu&#10;eG1sUEsFBgAAAAAGAAYAWQEAAFgFAAAAAA==&#10;">
              <v:fill on="f" focussize="0,0"/>
              <v:stroke on="f"/>
              <v:imagedata o:title=""/>
              <o:lock v:ext="edit" aspectratio="f"/>
              <v:textbox inset="0mm,0mm,0mm,0mm" style="mso-fit-shape-to-text:t;">
                <w:txbxContent>
                  <w:p w14:paraId="172C5FD9">
                    <w:pPr>
                      <w:pStyle w:val="49"/>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103BF">
    <w:pPr>
      <w:pStyle w:val="49"/>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721020">
                          <w:pPr>
                            <w:pStyle w:val="49"/>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zEIRckBAACZAwAADgAAAGRycy9lMm9Eb2MueG1srVPNjtMwEL4j8Q6W&#10;79TZIqE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LeUOG5x4OefP86//px/fye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vMQhFyQEAAJkDAAAOAAAAAAAAAAEAIAAAAB4BAABkcnMvZTJvRG9j&#10;LnhtbFBLBQYAAAAABgAGAFkBAABZBQAAAAA=&#10;">
              <v:fill on="f" focussize="0,0"/>
              <v:stroke on="f"/>
              <v:imagedata o:title=""/>
              <o:lock v:ext="edit" aspectratio="f"/>
              <v:textbox inset="0mm,0mm,0mm,0mm" style="mso-fit-shape-to-text:t;">
                <w:txbxContent>
                  <w:p w14:paraId="45721020">
                    <w:pPr>
                      <w:pStyle w:val="49"/>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CF10C">
    <w:pPr>
      <w:pStyle w:val="50"/>
    </w:pPr>
    <w:r>
      <w:t>DB</w:t>
    </w:r>
    <w:r>
      <w:rPr>
        <w:rFonts w:hint="eastAsia"/>
      </w:rPr>
      <w:t>36</w:t>
    </w:r>
    <w:r>
      <w:t>/</w:t>
    </w:r>
    <w:r>
      <w:rPr>
        <w:rFonts w:hint="eastAsia"/>
      </w:rPr>
      <w:t>T</w:t>
    </w:r>
    <w:r>
      <w:t xml:space="preserve"> </w:t>
    </w:r>
    <w:r>
      <w:rPr>
        <w:rFonts w:hint="eastAsia"/>
      </w:rPr>
      <w:t>1056</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7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5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8"/>
      <w:suff w:val="nothing"/>
      <w:lvlText w:val="%1.%2　"/>
      <w:lvlJc w:val="left"/>
      <w:pPr>
        <w:ind w:left="283"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61"/>
      <w:suff w:val="nothing"/>
      <w:lvlText w:val="%1.%2.%3.%4.%5　"/>
      <w:lvlJc w:val="left"/>
      <w:pPr>
        <w:ind w:left="0" w:firstLine="0"/>
      </w:pPr>
      <w:rPr>
        <w:rFonts w:hint="eastAsia" w:ascii="黑体" w:hAnsi="Times New Roman" w:eastAsia="黑体"/>
        <w:b w:val="0"/>
        <w:i w:val="0"/>
        <w:sz w:val="21"/>
      </w:rPr>
    </w:lvl>
    <w:lvl w:ilvl="5" w:tentative="0">
      <w:start w:val="1"/>
      <w:numFmt w:val="decimal"/>
      <w:pStyle w:val="6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7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104"/>
      <w:suff w:val="space"/>
      <w:lvlText w:val="%1"/>
      <w:lvlJc w:val="left"/>
      <w:pPr>
        <w:ind w:left="623" w:hanging="425"/>
      </w:pPr>
      <w:rPr>
        <w:rFonts w:hint="eastAsia"/>
      </w:rPr>
    </w:lvl>
    <w:lvl w:ilvl="1" w:tentative="0">
      <w:start w:val="1"/>
      <w:numFmt w:val="decimal"/>
      <w:pStyle w:val="10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54"/>
      <w:suff w:val="nothing"/>
      <w:lvlText w:val="%1——"/>
      <w:lvlJc w:val="left"/>
      <w:pPr>
        <w:ind w:left="833" w:hanging="408"/>
      </w:pPr>
      <w:rPr>
        <w:rFonts w:hint="eastAsia"/>
      </w:rPr>
    </w:lvl>
    <w:lvl w:ilvl="1" w:tentative="0">
      <w:start w:val="1"/>
      <w:numFmt w:val="bullet"/>
      <w:pStyle w:val="55"/>
      <w:lvlText w:val=""/>
      <w:lvlJc w:val="left"/>
      <w:pPr>
        <w:tabs>
          <w:tab w:val="left" w:pos="760"/>
        </w:tabs>
        <w:ind w:left="1264" w:hanging="413"/>
      </w:pPr>
      <w:rPr>
        <w:rFonts w:hint="default" w:ascii="Symbol" w:hAnsi="Symbol"/>
        <w:color w:val="auto"/>
      </w:rPr>
    </w:lvl>
    <w:lvl w:ilvl="2" w:tentative="0">
      <w:start w:val="1"/>
      <w:numFmt w:val="bullet"/>
      <w:pStyle w:val="6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B733A5F"/>
    <w:multiLevelType w:val="multilevel"/>
    <w:tmpl w:val="4B733A5F"/>
    <w:lvl w:ilvl="0" w:tentative="0">
      <w:start w:val="1"/>
      <w:numFmt w:val="decimal"/>
      <w:pStyle w:val="6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60B55DC2"/>
    <w:multiLevelType w:val="multilevel"/>
    <w:tmpl w:val="60B55DC2"/>
    <w:lvl w:ilvl="0" w:tentative="0">
      <w:start w:val="1"/>
      <w:numFmt w:val="upperLetter"/>
      <w:pStyle w:val="92"/>
      <w:lvlText w:val="%1"/>
      <w:lvlJc w:val="left"/>
      <w:pPr>
        <w:tabs>
          <w:tab w:val="left" w:pos="0"/>
        </w:tabs>
        <w:ind w:left="0" w:hanging="425"/>
      </w:pPr>
      <w:rPr>
        <w:rFonts w:hint="eastAsia"/>
      </w:rPr>
    </w:lvl>
    <w:lvl w:ilvl="1" w:tentative="0">
      <w:start w:val="1"/>
      <w:numFmt w:val="decimal"/>
      <w:pStyle w:val="9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22255DD"/>
    <w:multiLevelType w:val="multilevel"/>
    <w:tmpl w:val="622255DD"/>
    <w:lvl w:ilvl="0" w:tentative="0">
      <w:start w:val="1"/>
      <w:numFmt w:val="lowerLetter"/>
      <w:pStyle w:val="65"/>
      <w:lvlText w:val="%1)"/>
      <w:lvlJc w:val="left"/>
      <w:pPr>
        <w:tabs>
          <w:tab w:val="left" w:pos="840"/>
        </w:tabs>
        <w:ind w:left="839" w:hanging="419"/>
      </w:pPr>
      <w:rPr>
        <w:rFonts w:hint="default" w:ascii="Times New Roman" w:hAnsi="Times New Roman" w:eastAsia="宋体" w:cs="Times New Roman"/>
        <w:b w:val="0"/>
        <w:i w:val="0"/>
        <w:sz w:val="21"/>
        <w:szCs w:val="21"/>
      </w:rPr>
    </w:lvl>
    <w:lvl w:ilvl="1" w:tentative="0">
      <w:start w:val="1"/>
      <w:numFmt w:val="decimal"/>
      <w:pStyle w:val="60"/>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646260FA"/>
    <w:multiLevelType w:val="multilevel"/>
    <w:tmpl w:val="646260FA"/>
    <w:lvl w:ilvl="0" w:tentative="0">
      <w:start w:val="1"/>
      <w:numFmt w:val="decimal"/>
      <w:pStyle w:val="13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90"/>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10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9"/>
      <w:suff w:val="nothing"/>
      <w:lvlText w:val="%1.%2.%3　"/>
      <w:lvlJc w:val="left"/>
      <w:pPr>
        <w:ind w:left="0" w:firstLine="0"/>
      </w:pPr>
      <w:rPr>
        <w:rFonts w:hint="eastAsia" w:ascii="黑体" w:hAnsi="Times New Roman" w:eastAsia="黑体"/>
        <w:b w:val="0"/>
        <w:i w:val="0"/>
        <w:sz w:val="21"/>
      </w:rPr>
    </w:lvl>
    <w:lvl w:ilvl="3" w:tentative="0">
      <w:start w:val="1"/>
      <w:numFmt w:val="decimal"/>
      <w:pStyle w:val="94"/>
      <w:suff w:val="nothing"/>
      <w:lvlText w:val="%1.%2.%3.%4　"/>
      <w:lvlJc w:val="left"/>
      <w:pPr>
        <w:ind w:left="0" w:firstLine="0"/>
      </w:pPr>
      <w:rPr>
        <w:rFonts w:hint="eastAsia" w:ascii="黑体" w:hAnsi="Times New Roman" w:eastAsia="黑体"/>
        <w:b w:val="0"/>
        <w:i w:val="0"/>
        <w:sz w:val="21"/>
      </w:rPr>
    </w:lvl>
    <w:lvl w:ilvl="4" w:tentative="0">
      <w:start w:val="1"/>
      <w:numFmt w:val="decimal"/>
      <w:pStyle w:val="99"/>
      <w:suff w:val="nothing"/>
      <w:lvlText w:val="%1.%2.%3.%4.%5　"/>
      <w:lvlJc w:val="left"/>
      <w:pPr>
        <w:ind w:left="0" w:firstLine="0"/>
      </w:pPr>
      <w:rPr>
        <w:rFonts w:hint="eastAsia" w:ascii="黑体" w:hAnsi="Times New Roman" w:eastAsia="黑体"/>
        <w:b w:val="0"/>
        <w:i w:val="0"/>
        <w:sz w:val="21"/>
      </w:rPr>
    </w:lvl>
    <w:lvl w:ilvl="5" w:tentative="0">
      <w:start w:val="1"/>
      <w:numFmt w:val="decimal"/>
      <w:pStyle w:val="102"/>
      <w:suff w:val="nothing"/>
      <w:lvlText w:val="%1.%2.%3.%4.%5.%6　"/>
      <w:lvlJc w:val="left"/>
      <w:pPr>
        <w:ind w:left="0" w:firstLine="0"/>
      </w:pPr>
      <w:rPr>
        <w:rFonts w:hint="eastAsia" w:ascii="黑体" w:hAnsi="Times New Roman" w:eastAsia="黑体"/>
        <w:b w:val="0"/>
        <w:i w:val="0"/>
        <w:sz w:val="21"/>
      </w:rPr>
    </w:lvl>
    <w:lvl w:ilvl="6" w:tentative="0">
      <w:start w:val="1"/>
      <w:numFmt w:val="decimal"/>
      <w:pStyle w:val="10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11"/>
      <w:lvlText w:val="%1)"/>
      <w:lvlJc w:val="left"/>
      <w:pPr>
        <w:tabs>
          <w:tab w:val="left" w:pos="839"/>
        </w:tabs>
        <w:ind w:left="839" w:hanging="419"/>
      </w:pPr>
      <w:rPr>
        <w:rFonts w:hint="eastAsia" w:ascii="宋体" w:eastAsia="宋体"/>
        <w:b w:val="0"/>
        <w:i w:val="0"/>
        <w:sz w:val="21"/>
      </w:rPr>
    </w:lvl>
    <w:lvl w:ilvl="1" w:tentative="0">
      <w:start w:val="1"/>
      <w:numFmt w:val="decimal"/>
      <w:pStyle w:val="10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3"/>
  </w:num>
  <w:num w:numId="6">
    <w:abstractNumId w:val="17"/>
  </w:num>
  <w:num w:numId="7">
    <w:abstractNumId w:val="0"/>
  </w:num>
  <w:num w:numId="8">
    <w:abstractNumId w:val="11"/>
  </w:num>
  <w:num w:numId="9">
    <w:abstractNumId w:val="7"/>
  </w:num>
  <w:num w:numId="10">
    <w:abstractNumId w:val="5"/>
  </w:num>
  <w:num w:numId="11">
    <w:abstractNumId w:val="15"/>
  </w:num>
  <w:num w:numId="12">
    <w:abstractNumId w:val="12"/>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2ODI1Y2I5ZTU4ZmEwZTUxNWJlY2VmOWVlMzM0MGUifQ=="/>
  </w:docVars>
  <w:rsids>
    <w:rsidRoot w:val="00172A27"/>
    <w:rsid w:val="00000244"/>
    <w:rsid w:val="00000EBE"/>
    <w:rsid w:val="0000185F"/>
    <w:rsid w:val="0000586F"/>
    <w:rsid w:val="00007D34"/>
    <w:rsid w:val="0001247B"/>
    <w:rsid w:val="00013D86"/>
    <w:rsid w:val="00013E02"/>
    <w:rsid w:val="000146A3"/>
    <w:rsid w:val="00015190"/>
    <w:rsid w:val="0001689A"/>
    <w:rsid w:val="0002143C"/>
    <w:rsid w:val="00023F48"/>
    <w:rsid w:val="00025A65"/>
    <w:rsid w:val="00026C31"/>
    <w:rsid w:val="00027280"/>
    <w:rsid w:val="0003122C"/>
    <w:rsid w:val="00031EA3"/>
    <w:rsid w:val="000320A7"/>
    <w:rsid w:val="00035925"/>
    <w:rsid w:val="00046F65"/>
    <w:rsid w:val="000519D7"/>
    <w:rsid w:val="000528A6"/>
    <w:rsid w:val="0005643A"/>
    <w:rsid w:val="000636B8"/>
    <w:rsid w:val="00067CDF"/>
    <w:rsid w:val="00074FBE"/>
    <w:rsid w:val="000838C2"/>
    <w:rsid w:val="00083A09"/>
    <w:rsid w:val="0008581F"/>
    <w:rsid w:val="0008643A"/>
    <w:rsid w:val="0009005E"/>
    <w:rsid w:val="0009201F"/>
    <w:rsid w:val="00092857"/>
    <w:rsid w:val="000A20A9"/>
    <w:rsid w:val="000A48B1"/>
    <w:rsid w:val="000A7BC3"/>
    <w:rsid w:val="000B3143"/>
    <w:rsid w:val="000B3FBE"/>
    <w:rsid w:val="000B7105"/>
    <w:rsid w:val="000C1A48"/>
    <w:rsid w:val="000C33B9"/>
    <w:rsid w:val="000C41ED"/>
    <w:rsid w:val="000C6B05"/>
    <w:rsid w:val="000C6DD6"/>
    <w:rsid w:val="000C7259"/>
    <w:rsid w:val="000C73D4"/>
    <w:rsid w:val="000D11C6"/>
    <w:rsid w:val="000D2CF3"/>
    <w:rsid w:val="000D3D4C"/>
    <w:rsid w:val="000D4F51"/>
    <w:rsid w:val="000D50C9"/>
    <w:rsid w:val="000D5B49"/>
    <w:rsid w:val="000D718B"/>
    <w:rsid w:val="000E0C46"/>
    <w:rsid w:val="000E3EA7"/>
    <w:rsid w:val="000F030C"/>
    <w:rsid w:val="000F129C"/>
    <w:rsid w:val="000F1FB4"/>
    <w:rsid w:val="000F67F2"/>
    <w:rsid w:val="001056DE"/>
    <w:rsid w:val="001112DD"/>
    <w:rsid w:val="001124C0"/>
    <w:rsid w:val="001176D3"/>
    <w:rsid w:val="0012264A"/>
    <w:rsid w:val="001253FA"/>
    <w:rsid w:val="00130BFE"/>
    <w:rsid w:val="0013175F"/>
    <w:rsid w:val="0013550B"/>
    <w:rsid w:val="0013564A"/>
    <w:rsid w:val="001476F5"/>
    <w:rsid w:val="00147836"/>
    <w:rsid w:val="00147DF9"/>
    <w:rsid w:val="001512B4"/>
    <w:rsid w:val="001620A5"/>
    <w:rsid w:val="00162394"/>
    <w:rsid w:val="00162C47"/>
    <w:rsid w:val="00164E53"/>
    <w:rsid w:val="001657FC"/>
    <w:rsid w:val="001666EF"/>
    <w:rsid w:val="0016699D"/>
    <w:rsid w:val="00170AA1"/>
    <w:rsid w:val="00170B54"/>
    <w:rsid w:val="00175159"/>
    <w:rsid w:val="00176208"/>
    <w:rsid w:val="00177663"/>
    <w:rsid w:val="0018211B"/>
    <w:rsid w:val="001840D3"/>
    <w:rsid w:val="00186E34"/>
    <w:rsid w:val="001900F8"/>
    <w:rsid w:val="00191258"/>
    <w:rsid w:val="00192680"/>
    <w:rsid w:val="00192BDC"/>
    <w:rsid w:val="00193037"/>
    <w:rsid w:val="00193A2C"/>
    <w:rsid w:val="00193D4D"/>
    <w:rsid w:val="00195CB8"/>
    <w:rsid w:val="001A1D54"/>
    <w:rsid w:val="001A288E"/>
    <w:rsid w:val="001A4DE9"/>
    <w:rsid w:val="001A6D53"/>
    <w:rsid w:val="001B6DC2"/>
    <w:rsid w:val="001C149C"/>
    <w:rsid w:val="001C21AC"/>
    <w:rsid w:val="001C342C"/>
    <w:rsid w:val="001C453C"/>
    <w:rsid w:val="001C47BA"/>
    <w:rsid w:val="001C59EA"/>
    <w:rsid w:val="001D197C"/>
    <w:rsid w:val="001D406C"/>
    <w:rsid w:val="001D41EE"/>
    <w:rsid w:val="001D670A"/>
    <w:rsid w:val="001D717B"/>
    <w:rsid w:val="001E0380"/>
    <w:rsid w:val="001E13B1"/>
    <w:rsid w:val="001E4311"/>
    <w:rsid w:val="001F3A19"/>
    <w:rsid w:val="001F5ECA"/>
    <w:rsid w:val="001F7B0D"/>
    <w:rsid w:val="00202C1B"/>
    <w:rsid w:val="002036DB"/>
    <w:rsid w:val="00203B94"/>
    <w:rsid w:val="0020585B"/>
    <w:rsid w:val="00217028"/>
    <w:rsid w:val="00223273"/>
    <w:rsid w:val="0023052F"/>
    <w:rsid w:val="0023412A"/>
    <w:rsid w:val="00234467"/>
    <w:rsid w:val="00237143"/>
    <w:rsid w:val="00237D8D"/>
    <w:rsid w:val="00240DAB"/>
    <w:rsid w:val="00240F62"/>
    <w:rsid w:val="00241DA2"/>
    <w:rsid w:val="002423B0"/>
    <w:rsid w:val="00243483"/>
    <w:rsid w:val="00247FEE"/>
    <w:rsid w:val="002502EF"/>
    <w:rsid w:val="00250E7D"/>
    <w:rsid w:val="002530AE"/>
    <w:rsid w:val="00255BC4"/>
    <w:rsid w:val="00255D02"/>
    <w:rsid w:val="00255D2C"/>
    <w:rsid w:val="002565D5"/>
    <w:rsid w:val="002622C0"/>
    <w:rsid w:val="00275DC3"/>
    <w:rsid w:val="00276693"/>
    <w:rsid w:val="00277081"/>
    <w:rsid w:val="002778AE"/>
    <w:rsid w:val="0028269A"/>
    <w:rsid w:val="00282B9B"/>
    <w:rsid w:val="00283590"/>
    <w:rsid w:val="0028437B"/>
    <w:rsid w:val="00284CE1"/>
    <w:rsid w:val="00286973"/>
    <w:rsid w:val="0028701E"/>
    <w:rsid w:val="00294E70"/>
    <w:rsid w:val="00295D5F"/>
    <w:rsid w:val="002A1924"/>
    <w:rsid w:val="002A286C"/>
    <w:rsid w:val="002A3621"/>
    <w:rsid w:val="002A7420"/>
    <w:rsid w:val="002B0F12"/>
    <w:rsid w:val="002B1308"/>
    <w:rsid w:val="002B4554"/>
    <w:rsid w:val="002B4E7E"/>
    <w:rsid w:val="002C2FD0"/>
    <w:rsid w:val="002C3A3D"/>
    <w:rsid w:val="002C3BC6"/>
    <w:rsid w:val="002C6CF1"/>
    <w:rsid w:val="002C72D8"/>
    <w:rsid w:val="002D111D"/>
    <w:rsid w:val="002D11FA"/>
    <w:rsid w:val="002E0DDF"/>
    <w:rsid w:val="002E2906"/>
    <w:rsid w:val="002E363B"/>
    <w:rsid w:val="002E3782"/>
    <w:rsid w:val="002E3DFC"/>
    <w:rsid w:val="002E5635"/>
    <w:rsid w:val="002E64C3"/>
    <w:rsid w:val="002E6A2C"/>
    <w:rsid w:val="002E79A4"/>
    <w:rsid w:val="002F1D8C"/>
    <w:rsid w:val="002F21DA"/>
    <w:rsid w:val="00301F39"/>
    <w:rsid w:val="003217C8"/>
    <w:rsid w:val="0032320A"/>
    <w:rsid w:val="00325926"/>
    <w:rsid w:val="00327A8A"/>
    <w:rsid w:val="00332B5C"/>
    <w:rsid w:val="00335721"/>
    <w:rsid w:val="00336610"/>
    <w:rsid w:val="0033714D"/>
    <w:rsid w:val="00337D4B"/>
    <w:rsid w:val="00343F73"/>
    <w:rsid w:val="00345060"/>
    <w:rsid w:val="00346E24"/>
    <w:rsid w:val="00352DFC"/>
    <w:rsid w:val="00352EBB"/>
    <w:rsid w:val="0035323B"/>
    <w:rsid w:val="003602CB"/>
    <w:rsid w:val="003609D2"/>
    <w:rsid w:val="003639BB"/>
    <w:rsid w:val="00363F22"/>
    <w:rsid w:val="00364670"/>
    <w:rsid w:val="00375564"/>
    <w:rsid w:val="003755A9"/>
    <w:rsid w:val="00380314"/>
    <w:rsid w:val="00382268"/>
    <w:rsid w:val="00383191"/>
    <w:rsid w:val="00384D27"/>
    <w:rsid w:val="00386177"/>
    <w:rsid w:val="00386DED"/>
    <w:rsid w:val="0038763C"/>
    <w:rsid w:val="003912E7"/>
    <w:rsid w:val="00392C7D"/>
    <w:rsid w:val="00393947"/>
    <w:rsid w:val="00394275"/>
    <w:rsid w:val="003A2275"/>
    <w:rsid w:val="003A6A4F"/>
    <w:rsid w:val="003A6EDF"/>
    <w:rsid w:val="003A7088"/>
    <w:rsid w:val="003B00DF"/>
    <w:rsid w:val="003B1275"/>
    <w:rsid w:val="003B1778"/>
    <w:rsid w:val="003B281F"/>
    <w:rsid w:val="003B2A2E"/>
    <w:rsid w:val="003C11CB"/>
    <w:rsid w:val="003C3025"/>
    <w:rsid w:val="003C7255"/>
    <w:rsid w:val="003C75F3"/>
    <w:rsid w:val="003C78A3"/>
    <w:rsid w:val="003C7ED0"/>
    <w:rsid w:val="003D480D"/>
    <w:rsid w:val="003D61F7"/>
    <w:rsid w:val="003E1867"/>
    <w:rsid w:val="003E1FD6"/>
    <w:rsid w:val="003E5334"/>
    <w:rsid w:val="003E5729"/>
    <w:rsid w:val="003E7250"/>
    <w:rsid w:val="003E7C1F"/>
    <w:rsid w:val="003F277A"/>
    <w:rsid w:val="003F3751"/>
    <w:rsid w:val="003F4EE0"/>
    <w:rsid w:val="003F508C"/>
    <w:rsid w:val="00402153"/>
    <w:rsid w:val="00402FC1"/>
    <w:rsid w:val="0041229F"/>
    <w:rsid w:val="004143EA"/>
    <w:rsid w:val="00415CD7"/>
    <w:rsid w:val="00415ED3"/>
    <w:rsid w:val="00425082"/>
    <w:rsid w:val="00426F46"/>
    <w:rsid w:val="00431DEB"/>
    <w:rsid w:val="00432D06"/>
    <w:rsid w:val="0043364F"/>
    <w:rsid w:val="004360D7"/>
    <w:rsid w:val="00446B29"/>
    <w:rsid w:val="00453F9A"/>
    <w:rsid w:val="00466C86"/>
    <w:rsid w:val="00467EEE"/>
    <w:rsid w:val="0047038D"/>
    <w:rsid w:val="00471E91"/>
    <w:rsid w:val="00473050"/>
    <w:rsid w:val="00474675"/>
    <w:rsid w:val="0047470C"/>
    <w:rsid w:val="00474824"/>
    <w:rsid w:val="00475A00"/>
    <w:rsid w:val="00480F84"/>
    <w:rsid w:val="00481125"/>
    <w:rsid w:val="004901A2"/>
    <w:rsid w:val="00490CCE"/>
    <w:rsid w:val="00491A31"/>
    <w:rsid w:val="004923C7"/>
    <w:rsid w:val="00496371"/>
    <w:rsid w:val="004968DB"/>
    <w:rsid w:val="004A1233"/>
    <w:rsid w:val="004A35F9"/>
    <w:rsid w:val="004A382D"/>
    <w:rsid w:val="004A59D1"/>
    <w:rsid w:val="004B18FB"/>
    <w:rsid w:val="004B24C1"/>
    <w:rsid w:val="004C0EBE"/>
    <w:rsid w:val="004C0FAC"/>
    <w:rsid w:val="004C292F"/>
    <w:rsid w:val="004D1332"/>
    <w:rsid w:val="004D26F5"/>
    <w:rsid w:val="004E0B1E"/>
    <w:rsid w:val="004E2EFA"/>
    <w:rsid w:val="004E47FE"/>
    <w:rsid w:val="005019B8"/>
    <w:rsid w:val="00502E2B"/>
    <w:rsid w:val="0051001D"/>
    <w:rsid w:val="00510280"/>
    <w:rsid w:val="0051292E"/>
    <w:rsid w:val="00513D73"/>
    <w:rsid w:val="00513ED9"/>
    <w:rsid w:val="00514A43"/>
    <w:rsid w:val="0051644F"/>
    <w:rsid w:val="005174E5"/>
    <w:rsid w:val="00522393"/>
    <w:rsid w:val="00522589"/>
    <w:rsid w:val="00522620"/>
    <w:rsid w:val="00522C86"/>
    <w:rsid w:val="00525656"/>
    <w:rsid w:val="00530DB7"/>
    <w:rsid w:val="00534C02"/>
    <w:rsid w:val="0053779C"/>
    <w:rsid w:val="00541478"/>
    <w:rsid w:val="0054264B"/>
    <w:rsid w:val="00543786"/>
    <w:rsid w:val="0054767D"/>
    <w:rsid w:val="00547F31"/>
    <w:rsid w:val="005533D7"/>
    <w:rsid w:val="00560129"/>
    <w:rsid w:val="00567C14"/>
    <w:rsid w:val="005703DE"/>
    <w:rsid w:val="005746D0"/>
    <w:rsid w:val="00577B9F"/>
    <w:rsid w:val="0058464E"/>
    <w:rsid w:val="0059174F"/>
    <w:rsid w:val="005925DE"/>
    <w:rsid w:val="005938A9"/>
    <w:rsid w:val="00593B48"/>
    <w:rsid w:val="00596521"/>
    <w:rsid w:val="005968C7"/>
    <w:rsid w:val="005A01CB"/>
    <w:rsid w:val="005A4DFB"/>
    <w:rsid w:val="005A58FF"/>
    <w:rsid w:val="005A5EAF"/>
    <w:rsid w:val="005A64C0"/>
    <w:rsid w:val="005B13FA"/>
    <w:rsid w:val="005B1775"/>
    <w:rsid w:val="005B3C11"/>
    <w:rsid w:val="005C1C28"/>
    <w:rsid w:val="005C5659"/>
    <w:rsid w:val="005C6DB5"/>
    <w:rsid w:val="005D4494"/>
    <w:rsid w:val="005D7613"/>
    <w:rsid w:val="005D7987"/>
    <w:rsid w:val="005E19E7"/>
    <w:rsid w:val="005E1CD9"/>
    <w:rsid w:val="005F0BAF"/>
    <w:rsid w:val="005F0D35"/>
    <w:rsid w:val="005F216B"/>
    <w:rsid w:val="005F2235"/>
    <w:rsid w:val="005F421E"/>
    <w:rsid w:val="005F7054"/>
    <w:rsid w:val="006013A6"/>
    <w:rsid w:val="0060466F"/>
    <w:rsid w:val="006107B3"/>
    <w:rsid w:val="006126BF"/>
    <w:rsid w:val="00616975"/>
    <w:rsid w:val="0061716C"/>
    <w:rsid w:val="00617D19"/>
    <w:rsid w:val="006243A1"/>
    <w:rsid w:val="006268AB"/>
    <w:rsid w:val="00632E56"/>
    <w:rsid w:val="00635CBA"/>
    <w:rsid w:val="006428A8"/>
    <w:rsid w:val="0064338B"/>
    <w:rsid w:val="00646237"/>
    <w:rsid w:val="00646542"/>
    <w:rsid w:val="006504F4"/>
    <w:rsid w:val="006516BB"/>
    <w:rsid w:val="00654BC9"/>
    <w:rsid w:val="00654D6E"/>
    <w:rsid w:val="006552FD"/>
    <w:rsid w:val="0066172B"/>
    <w:rsid w:val="00662146"/>
    <w:rsid w:val="00663AF3"/>
    <w:rsid w:val="006651E2"/>
    <w:rsid w:val="006668BA"/>
    <w:rsid w:val="00666B6C"/>
    <w:rsid w:val="006726D9"/>
    <w:rsid w:val="00673FED"/>
    <w:rsid w:val="0067661D"/>
    <w:rsid w:val="006771DA"/>
    <w:rsid w:val="00680B71"/>
    <w:rsid w:val="00682682"/>
    <w:rsid w:val="00682702"/>
    <w:rsid w:val="00682CAE"/>
    <w:rsid w:val="00691E1E"/>
    <w:rsid w:val="00692368"/>
    <w:rsid w:val="00692EEF"/>
    <w:rsid w:val="00692F29"/>
    <w:rsid w:val="006950E4"/>
    <w:rsid w:val="006A2EBC"/>
    <w:rsid w:val="006A328D"/>
    <w:rsid w:val="006A5EA0"/>
    <w:rsid w:val="006A783B"/>
    <w:rsid w:val="006A7B33"/>
    <w:rsid w:val="006B09FE"/>
    <w:rsid w:val="006B23F9"/>
    <w:rsid w:val="006B2658"/>
    <w:rsid w:val="006B3D24"/>
    <w:rsid w:val="006B4E13"/>
    <w:rsid w:val="006B52FC"/>
    <w:rsid w:val="006B75DD"/>
    <w:rsid w:val="006C045C"/>
    <w:rsid w:val="006C47CA"/>
    <w:rsid w:val="006C67E0"/>
    <w:rsid w:val="006C7288"/>
    <w:rsid w:val="006C7ABA"/>
    <w:rsid w:val="006D080D"/>
    <w:rsid w:val="006D0D60"/>
    <w:rsid w:val="006D1122"/>
    <w:rsid w:val="006D3C00"/>
    <w:rsid w:val="006D5550"/>
    <w:rsid w:val="006D6CF4"/>
    <w:rsid w:val="006D7C4B"/>
    <w:rsid w:val="006E3675"/>
    <w:rsid w:val="006E4A7F"/>
    <w:rsid w:val="006E775F"/>
    <w:rsid w:val="006F4389"/>
    <w:rsid w:val="00704DF6"/>
    <w:rsid w:val="0070651C"/>
    <w:rsid w:val="007132A3"/>
    <w:rsid w:val="00715F1A"/>
    <w:rsid w:val="00716421"/>
    <w:rsid w:val="00724EFB"/>
    <w:rsid w:val="00725385"/>
    <w:rsid w:val="00725FDC"/>
    <w:rsid w:val="0073327B"/>
    <w:rsid w:val="00735E59"/>
    <w:rsid w:val="0073702A"/>
    <w:rsid w:val="00741939"/>
    <w:rsid w:val="007419C3"/>
    <w:rsid w:val="00744F22"/>
    <w:rsid w:val="00746096"/>
    <w:rsid w:val="007467A7"/>
    <w:rsid w:val="007469DD"/>
    <w:rsid w:val="0074741B"/>
    <w:rsid w:val="0074759E"/>
    <w:rsid w:val="007478EA"/>
    <w:rsid w:val="00751550"/>
    <w:rsid w:val="007538B9"/>
    <w:rsid w:val="0075415C"/>
    <w:rsid w:val="00755A61"/>
    <w:rsid w:val="00755E64"/>
    <w:rsid w:val="00761138"/>
    <w:rsid w:val="00763502"/>
    <w:rsid w:val="00772A30"/>
    <w:rsid w:val="00774591"/>
    <w:rsid w:val="007816F3"/>
    <w:rsid w:val="00782FC2"/>
    <w:rsid w:val="007857A8"/>
    <w:rsid w:val="007913AB"/>
    <w:rsid w:val="007914F7"/>
    <w:rsid w:val="00792121"/>
    <w:rsid w:val="00792DC9"/>
    <w:rsid w:val="007946F0"/>
    <w:rsid w:val="00796A07"/>
    <w:rsid w:val="00797DD8"/>
    <w:rsid w:val="007B083E"/>
    <w:rsid w:val="007B1625"/>
    <w:rsid w:val="007B1676"/>
    <w:rsid w:val="007B706E"/>
    <w:rsid w:val="007B71EB"/>
    <w:rsid w:val="007B722C"/>
    <w:rsid w:val="007C3E3B"/>
    <w:rsid w:val="007C5B61"/>
    <w:rsid w:val="007C6205"/>
    <w:rsid w:val="007C686A"/>
    <w:rsid w:val="007C728E"/>
    <w:rsid w:val="007D20BD"/>
    <w:rsid w:val="007D264A"/>
    <w:rsid w:val="007D2C53"/>
    <w:rsid w:val="007D2F0B"/>
    <w:rsid w:val="007D3D60"/>
    <w:rsid w:val="007D7E06"/>
    <w:rsid w:val="007E0B2F"/>
    <w:rsid w:val="007E1980"/>
    <w:rsid w:val="007E3F5B"/>
    <w:rsid w:val="007E4B76"/>
    <w:rsid w:val="007E5EA8"/>
    <w:rsid w:val="007F0CF1"/>
    <w:rsid w:val="007F12A5"/>
    <w:rsid w:val="007F4CF1"/>
    <w:rsid w:val="007F6408"/>
    <w:rsid w:val="007F758D"/>
    <w:rsid w:val="007F7D52"/>
    <w:rsid w:val="0080654C"/>
    <w:rsid w:val="008071C6"/>
    <w:rsid w:val="00813060"/>
    <w:rsid w:val="00817452"/>
    <w:rsid w:val="00817A00"/>
    <w:rsid w:val="00832394"/>
    <w:rsid w:val="00832DD1"/>
    <w:rsid w:val="00835DB3"/>
    <w:rsid w:val="0083617B"/>
    <w:rsid w:val="008371BD"/>
    <w:rsid w:val="00841647"/>
    <w:rsid w:val="00843039"/>
    <w:rsid w:val="00843261"/>
    <w:rsid w:val="008438C2"/>
    <w:rsid w:val="00844407"/>
    <w:rsid w:val="00846C14"/>
    <w:rsid w:val="008504A8"/>
    <w:rsid w:val="0085282E"/>
    <w:rsid w:val="00852C7C"/>
    <w:rsid w:val="00853E52"/>
    <w:rsid w:val="0086125A"/>
    <w:rsid w:val="00862D83"/>
    <w:rsid w:val="00864121"/>
    <w:rsid w:val="00865CB5"/>
    <w:rsid w:val="0087198C"/>
    <w:rsid w:val="00872C1F"/>
    <w:rsid w:val="00873B42"/>
    <w:rsid w:val="0087721E"/>
    <w:rsid w:val="008778BA"/>
    <w:rsid w:val="00877CF6"/>
    <w:rsid w:val="008831E1"/>
    <w:rsid w:val="008856D8"/>
    <w:rsid w:val="008871F1"/>
    <w:rsid w:val="00892E82"/>
    <w:rsid w:val="0089455B"/>
    <w:rsid w:val="008949E7"/>
    <w:rsid w:val="008A4D62"/>
    <w:rsid w:val="008B5BBC"/>
    <w:rsid w:val="008C1B58"/>
    <w:rsid w:val="008C39AE"/>
    <w:rsid w:val="008C5191"/>
    <w:rsid w:val="008C590D"/>
    <w:rsid w:val="008C7D81"/>
    <w:rsid w:val="008D2B56"/>
    <w:rsid w:val="008D6E04"/>
    <w:rsid w:val="008D6FC4"/>
    <w:rsid w:val="008E031B"/>
    <w:rsid w:val="008E370F"/>
    <w:rsid w:val="008E6FDD"/>
    <w:rsid w:val="008E7029"/>
    <w:rsid w:val="008E7EF6"/>
    <w:rsid w:val="008F1F98"/>
    <w:rsid w:val="008F45E0"/>
    <w:rsid w:val="008F4BD1"/>
    <w:rsid w:val="008F5DF1"/>
    <w:rsid w:val="008F6758"/>
    <w:rsid w:val="0090236F"/>
    <w:rsid w:val="009040DD"/>
    <w:rsid w:val="00905B47"/>
    <w:rsid w:val="009100A0"/>
    <w:rsid w:val="00910367"/>
    <w:rsid w:val="00910EC4"/>
    <w:rsid w:val="0091331C"/>
    <w:rsid w:val="0091573A"/>
    <w:rsid w:val="00917DDC"/>
    <w:rsid w:val="009279DE"/>
    <w:rsid w:val="00930116"/>
    <w:rsid w:val="00931FCA"/>
    <w:rsid w:val="00936633"/>
    <w:rsid w:val="0093679C"/>
    <w:rsid w:val="0093753B"/>
    <w:rsid w:val="00940283"/>
    <w:rsid w:val="0094212C"/>
    <w:rsid w:val="00944072"/>
    <w:rsid w:val="00944307"/>
    <w:rsid w:val="0094546C"/>
    <w:rsid w:val="00954689"/>
    <w:rsid w:val="00957EA5"/>
    <w:rsid w:val="009617C9"/>
    <w:rsid w:val="00961C93"/>
    <w:rsid w:val="009648B5"/>
    <w:rsid w:val="00965324"/>
    <w:rsid w:val="0097091E"/>
    <w:rsid w:val="009760D3"/>
    <w:rsid w:val="00976672"/>
    <w:rsid w:val="00977132"/>
    <w:rsid w:val="00977539"/>
    <w:rsid w:val="00981A4B"/>
    <w:rsid w:val="00982501"/>
    <w:rsid w:val="00982BC3"/>
    <w:rsid w:val="00983BF6"/>
    <w:rsid w:val="009877D3"/>
    <w:rsid w:val="0099070D"/>
    <w:rsid w:val="00994E8F"/>
    <w:rsid w:val="009951DC"/>
    <w:rsid w:val="009959BB"/>
    <w:rsid w:val="00995D86"/>
    <w:rsid w:val="00996BE4"/>
    <w:rsid w:val="00997158"/>
    <w:rsid w:val="009A3599"/>
    <w:rsid w:val="009A3A7C"/>
    <w:rsid w:val="009A7F44"/>
    <w:rsid w:val="009B1CD4"/>
    <w:rsid w:val="009B2ADB"/>
    <w:rsid w:val="009B603A"/>
    <w:rsid w:val="009C0046"/>
    <w:rsid w:val="009C0D14"/>
    <w:rsid w:val="009C2800"/>
    <w:rsid w:val="009C2D0E"/>
    <w:rsid w:val="009C3DAC"/>
    <w:rsid w:val="009C42E0"/>
    <w:rsid w:val="009C656F"/>
    <w:rsid w:val="009D4240"/>
    <w:rsid w:val="009D5362"/>
    <w:rsid w:val="009D6872"/>
    <w:rsid w:val="009D7BE5"/>
    <w:rsid w:val="009E00CD"/>
    <w:rsid w:val="009E0F01"/>
    <w:rsid w:val="009E1415"/>
    <w:rsid w:val="009E4511"/>
    <w:rsid w:val="009E6116"/>
    <w:rsid w:val="009E74BF"/>
    <w:rsid w:val="009F71E8"/>
    <w:rsid w:val="00A02E43"/>
    <w:rsid w:val="00A04677"/>
    <w:rsid w:val="00A065F9"/>
    <w:rsid w:val="00A07F34"/>
    <w:rsid w:val="00A110B3"/>
    <w:rsid w:val="00A13A4A"/>
    <w:rsid w:val="00A13BF5"/>
    <w:rsid w:val="00A20D1F"/>
    <w:rsid w:val="00A22154"/>
    <w:rsid w:val="00A25C38"/>
    <w:rsid w:val="00A348F0"/>
    <w:rsid w:val="00A3517A"/>
    <w:rsid w:val="00A36BBE"/>
    <w:rsid w:val="00A375A6"/>
    <w:rsid w:val="00A428AC"/>
    <w:rsid w:val="00A4307A"/>
    <w:rsid w:val="00A47EBB"/>
    <w:rsid w:val="00A50D92"/>
    <w:rsid w:val="00A51CDD"/>
    <w:rsid w:val="00A60C49"/>
    <w:rsid w:val="00A655A2"/>
    <w:rsid w:val="00A663B2"/>
    <w:rsid w:val="00A6730D"/>
    <w:rsid w:val="00A71625"/>
    <w:rsid w:val="00A717FD"/>
    <w:rsid w:val="00A71B9B"/>
    <w:rsid w:val="00A72E70"/>
    <w:rsid w:val="00A751C7"/>
    <w:rsid w:val="00A76D93"/>
    <w:rsid w:val="00A8201E"/>
    <w:rsid w:val="00A83493"/>
    <w:rsid w:val="00A87844"/>
    <w:rsid w:val="00A95625"/>
    <w:rsid w:val="00A95695"/>
    <w:rsid w:val="00AA038C"/>
    <w:rsid w:val="00AA0FED"/>
    <w:rsid w:val="00AA4F38"/>
    <w:rsid w:val="00AA6F7F"/>
    <w:rsid w:val="00AA7A09"/>
    <w:rsid w:val="00AA7C32"/>
    <w:rsid w:val="00AB3B50"/>
    <w:rsid w:val="00AB463E"/>
    <w:rsid w:val="00AB555C"/>
    <w:rsid w:val="00AB592E"/>
    <w:rsid w:val="00AC05B1"/>
    <w:rsid w:val="00AC50F6"/>
    <w:rsid w:val="00AC5B3B"/>
    <w:rsid w:val="00AC73DB"/>
    <w:rsid w:val="00AD356C"/>
    <w:rsid w:val="00AD3AD7"/>
    <w:rsid w:val="00AD4CA8"/>
    <w:rsid w:val="00AE0ADA"/>
    <w:rsid w:val="00AE27A8"/>
    <w:rsid w:val="00AE2914"/>
    <w:rsid w:val="00AE3707"/>
    <w:rsid w:val="00AE6D15"/>
    <w:rsid w:val="00AE79F7"/>
    <w:rsid w:val="00AF0C14"/>
    <w:rsid w:val="00AF1D17"/>
    <w:rsid w:val="00AF5B1E"/>
    <w:rsid w:val="00B04182"/>
    <w:rsid w:val="00B04A60"/>
    <w:rsid w:val="00B07AE3"/>
    <w:rsid w:val="00B11430"/>
    <w:rsid w:val="00B12BA5"/>
    <w:rsid w:val="00B16997"/>
    <w:rsid w:val="00B257B6"/>
    <w:rsid w:val="00B25F08"/>
    <w:rsid w:val="00B3005A"/>
    <w:rsid w:val="00B318BE"/>
    <w:rsid w:val="00B353EB"/>
    <w:rsid w:val="00B439C4"/>
    <w:rsid w:val="00B4535E"/>
    <w:rsid w:val="00B4793B"/>
    <w:rsid w:val="00B52A8C"/>
    <w:rsid w:val="00B54032"/>
    <w:rsid w:val="00B551E0"/>
    <w:rsid w:val="00B61CAC"/>
    <w:rsid w:val="00B636A8"/>
    <w:rsid w:val="00B63FB9"/>
    <w:rsid w:val="00B665C6"/>
    <w:rsid w:val="00B72ABF"/>
    <w:rsid w:val="00B77FB7"/>
    <w:rsid w:val="00B805AF"/>
    <w:rsid w:val="00B869EC"/>
    <w:rsid w:val="00B902AA"/>
    <w:rsid w:val="00B92781"/>
    <w:rsid w:val="00B9397A"/>
    <w:rsid w:val="00B948AE"/>
    <w:rsid w:val="00B95625"/>
    <w:rsid w:val="00B9633D"/>
    <w:rsid w:val="00B96A9A"/>
    <w:rsid w:val="00BA0B75"/>
    <w:rsid w:val="00BA22B3"/>
    <w:rsid w:val="00BA2EBE"/>
    <w:rsid w:val="00BA7524"/>
    <w:rsid w:val="00BB0DEC"/>
    <w:rsid w:val="00BB0F28"/>
    <w:rsid w:val="00BB2D02"/>
    <w:rsid w:val="00BB458A"/>
    <w:rsid w:val="00BB5FD0"/>
    <w:rsid w:val="00BB6ACD"/>
    <w:rsid w:val="00BC3F50"/>
    <w:rsid w:val="00BD00D3"/>
    <w:rsid w:val="00BD0BF2"/>
    <w:rsid w:val="00BD1659"/>
    <w:rsid w:val="00BD3AA9"/>
    <w:rsid w:val="00BD4A18"/>
    <w:rsid w:val="00BD6DB2"/>
    <w:rsid w:val="00BE11CF"/>
    <w:rsid w:val="00BE21AB"/>
    <w:rsid w:val="00BE55CB"/>
    <w:rsid w:val="00BF3BEA"/>
    <w:rsid w:val="00BF617A"/>
    <w:rsid w:val="00BF67DF"/>
    <w:rsid w:val="00BF6FCE"/>
    <w:rsid w:val="00C014B7"/>
    <w:rsid w:val="00C0379D"/>
    <w:rsid w:val="00C03931"/>
    <w:rsid w:val="00C04FD7"/>
    <w:rsid w:val="00C05C07"/>
    <w:rsid w:val="00C05FE3"/>
    <w:rsid w:val="00C064C6"/>
    <w:rsid w:val="00C06646"/>
    <w:rsid w:val="00C06E7B"/>
    <w:rsid w:val="00C0749C"/>
    <w:rsid w:val="00C07AFF"/>
    <w:rsid w:val="00C133A7"/>
    <w:rsid w:val="00C2136D"/>
    <w:rsid w:val="00C214EE"/>
    <w:rsid w:val="00C2314B"/>
    <w:rsid w:val="00C24971"/>
    <w:rsid w:val="00C26BE5"/>
    <w:rsid w:val="00C26E4D"/>
    <w:rsid w:val="00C27909"/>
    <w:rsid w:val="00C27B03"/>
    <w:rsid w:val="00C300EF"/>
    <w:rsid w:val="00C314E1"/>
    <w:rsid w:val="00C33219"/>
    <w:rsid w:val="00C34397"/>
    <w:rsid w:val="00C35958"/>
    <w:rsid w:val="00C3788B"/>
    <w:rsid w:val="00C4032F"/>
    <w:rsid w:val="00C4095D"/>
    <w:rsid w:val="00C43085"/>
    <w:rsid w:val="00C44E58"/>
    <w:rsid w:val="00C46366"/>
    <w:rsid w:val="00C51C64"/>
    <w:rsid w:val="00C601D2"/>
    <w:rsid w:val="00C60E38"/>
    <w:rsid w:val="00C656F3"/>
    <w:rsid w:val="00C65BCC"/>
    <w:rsid w:val="00C65C1B"/>
    <w:rsid w:val="00C66970"/>
    <w:rsid w:val="00C71A39"/>
    <w:rsid w:val="00C76899"/>
    <w:rsid w:val="00C826B0"/>
    <w:rsid w:val="00C843F5"/>
    <w:rsid w:val="00C86208"/>
    <w:rsid w:val="00C8691C"/>
    <w:rsid w:val="00C92B7D"/>
    <w:rsid w:val="00C933CE"/>
    <w:rsid w:val="00C97BC8"/>
    <w:rsid w:val="00CA08D9"/>
    <w:rsid w:val="00CA1324"/>
    <w:rsid w:val="00CA168A"/>
    <w:rsid w:val="00CA357E"/>
    <w:rsid w:val="00CA44F9"/>
    <w:rsid w:val="00CA4A69"/>
    <w:rsid w:val="00CA550D"/>
    <w:rsid w:val="00CB5076"/>
    <w:rsid w:val="00CC0017"/>
    <w:rsid w:val="00CC1FB7"/>
    <w:rsid w:val="00CC339B"/>
    <w:rsid w:val="00CC3E0C"/>
    <w:rsid w:val="00CC58D3"/>
    <w:rsid w:val="00CC784D"/>
    <w:rsid w:val="00CD22B0"/>
    <w:rsid w:val="00CD25D4"/>
    <w:rsid w:val="00CD7E4E"/>
    <w:rsid w:val="00CE3206"/>
    <w:rsid w:val="00CE6216"/>
    <w:rsid w:val="00CE77BD"/>
    <w:rsid w:val="00CF0FB7"/>
    <w:rsid w:val="00CF3724"/>
    <w:rsid w:val="00D00575"/>
    <w:rsid w:val="00D0337B"/>
    <w:rsid w:val="00D079B2"/>
    <w:rsid w:val="00D07AD9"/>
    <w:rsid w:val="00D10200"/>
    <w:rsid w:val="00D114E9"/>
    <w:rsid w:val="00D15A45"/>
    <w:rsid w:val="00D204C2"/>
    <w:rsid w:val="00D27B04"/>
    <w:rsid w:val="00D30690"/>
    <w:rsid w:val="00D36071"/>
    <w:rsid w:val="00D429C6"/>
    <w:rsid w:val="00D43AA9"/>
    <w:rsid w:val="00D43BB5"/>
    <w:rsid w:val="00D4445B"/>
    <w:rsid w:val="00D44FF2"/>
    <w:rsid w:val="00D47748"/>
    <w:rsid w:val="00D54CC3"/>
    <w:rsid w:val="00D55018"/>
    <w:rsid w:val="00D6041A"/>
    <w:rsid w:val="00D61CC1"/>
    <w:rsid w:val="00D628C6"/>
    <w:rsid w:val="00D633EB"/>
    <w:rsid w:val="00D74F17"/>
    <w:rsid w:val="00D82FF7"/>
    <w:rsid w:val="00D8373C"/>
    <w:rsid w:val="00D847FE"/>
    <w:rsid w:val="00D964EA"/>
    <w:rsid w:val="00D966D0"/>
    <w:rsid w:val="00DA0C59"/>
    <w:rsid w:val="00DA0E41"/>
    <w:rsid w:val="00DA1038"/>
    <w:rsid w:val="00DA3991"/>
    <w:rsid w:val="00DA47E1"/>
    <w:rsid w:val="00DA4D24"/>
    <w:rsid w:val="00DB0990"/>
    <w:rsid w:val="00DB7E6C"/>
    <w:rsid w:val="00DC004D"/>
    <w:rsid w:val="00DC5921"/>
    <w:rsid w:val="00DD084A"/>
    <w:rsid w:val="00DD3BD0"/>
    <w:rsid w:val="00DD5A29"/>
    <w:rsid w:val="00DD5D9D"/>
    <w:rsid w:val="00DD6990"/>
    <w:rsid w:val="00DD71B3"/>
    <w:rsid w:val="00DE35CB"/>
    <w:rsid w:val="00DE6F9E"/>
    <w:rsid w:val="00DF1912"/>
    <w:rsid w:val="00DF21E9"/>
    <w:rsid w:val="00DF611C"/>
    <w:rsid w:val="00E00ED4"/>
    <w:rsid w:val="00E00F14"/>
    <w:rsid w:val="00E00F60"/>
    <w:rsid w:val="00E039CB"/>
    <w:rsid w:val="00E04996"/>
    <w:rsid w:val="00E06386"/>
    <w:rsid w:val="00E11989"/>
    <w:rsid w:val="00E1257E"/>
    <w:rsid w:val="00E15439"/>
    <w:rsid w:val="00E2021B"/>
    <w:rsid w:val="00E24B14"/>
    <w:rsid w:val="00E24EB4"/>
    <w:rsid w:val="00E279A0"/>
    <w:rsid w:val="00E320ED"/>
    <w:rsid w:val="00E33AFB"/>
    <w:rsid w:val="00E34218"/>
    <w:rsid w:val="00E42338"/>
    <w:rsid w:val="00E46282"/>
    <w:rsid w:val="00E5010C"/>
    <w:rsid w:val="00E50A4E"/>
    <w:rsid w:val="00E5216E"/>
    <w:rsid w:val="00E546C7"/>
    <w:rsid w:val="00E66CDF"/>
    <w:rsid w:val="00E722C7"/>
    <w:rsid w:val="00E77C59"/>
    <w:rsid w:val="00E81388"/>
    <w:rsid w:val="00E82344"/>
    <w:rsid w:val="00E835A0"/>
    <w:rsid w:val="00E84C82"/>
    <w:rsid w:val="00E84D64"/>
    <w:rsid w:val="00E86E13"/>
    <w:rsid w:val="00E87408"/>
    <w:rsid w:val="00E914C4"/>
    <w:rsid w:val="00E92E75"/>
    <w:rsid w:val="00E934F5"/>
    <w:rsid w:val="00E96961"/>
    <w:rsid w:val="00EA563C"/>
    <w:rsid w:val="00EA72EC"/>
    <w:rsid w:val="00EB0B8A"/>
    <w:rsid w:val="00EB0D16"/>
    <w:rsid w:val="00EB10EA"/>
    <w:rsid w:val="00EB11CB"/>
    <w:rsid w:val="00EB275A"/>
    <w:rsid w:val="00EB786A"/>
    <w:rsid w:val="00EC1578"/>
    <w:rsid w:val="00EC1C72"/>
    <w:rsid w:val="00EC23C8"/>
    <w:rsid w:val="00EC30DA"/>
    <w:rsid w:val="00EC3CC9"/>
    <w:rsid w:val="00EC680A"/>
    <w:rsid w:val="00EC6DCF"/>
    <w:rsid w:val="00ED0ECD"/>
    <w:rsid w:val="00EE1E4A"/>
    <w:rsid w:val="00EE2BED"/>
    <w:rsid w:val="00EE374B"/>
    <w:rsid w:val="00EF0555"/>
    <w:rsid w:val="00EF16B0"/>
    <w:rsid w:val="00EF5BC8"/>
    <w:rsid w:val="00EF7BB2"/>
    <w:rsid w:val="00F11BB5"/>
    <w:rsid w:val="00F1417B"/>
    <w:rsid w:val="00F155DA"/>
    <w:rsid w:val="00F160B8"/>
    <w:rsid w:val="00F21CE1"/>
    <w:rsid w:val="00F275AA"/>
    <w:rsid w:val="00F30490"/>
    <w:rsid w:val="00F33F36"/>
    <w:rsid w:val="00F348DC"/>
    <w:rsid w:val="00F34B99"/>
    <w:rsid w:val="00F3645C"/>
    <w:rsid w:val="00F50CE1"/>
    <w:rsid w:val="00F5154A"/>
    <w:rsid w:val="00F52DAB"/>
    <w:rsid w:val="00F543F0"/>
    <w:rsid w:val="00F57254"/>
    <w:rsid w:val="00F61F91"/>
    <w:rsid w:val="00F62AC2"/>
    <w:rsid w:val="00F643C5"/>
    <w:rsid w:val="00F71FCA"/>
    <w:rsid w:val="00F80D26"/>
    <w:rsid w:val="00F81D29"/>
    <w:rsid w:val="00F876AE"/>
    <w:rsid w:val="00F911E5"/>
    <w:rsid w:val="00F91C4D"/>
    <w:rsid w:val="00F92FD9"/>
    <w:rsid w:val="00F9351D"/>
    <w:rsid w:val="00F96F08"/>
    <w:rsid w:val="00F97A5F"/>
    <w:rsid w:val="00FA3C07"/>
    <w:rsid w:val="00FA508C"/>
    <w:rsid w:val="00FA64CA"/>
    <w:rsid w:val="00FA6684"/>
    <w:rsid w:val="00FA731E"/>
    <w:rsid w:val="00FB2B38"/>
    <w:rsid w:val="00FB31D0"/>
    <w:rsid w:val="00FB4FC6"/>
    <w:rsid w:val="00FC1A0E"/>
    <w:rsid w:val="00FC306E"/>
    <w:rsid w:val="00FC4633"/>
    <w:rsid w:val="00FC6358"/>
    <w:rsid w:val="00FD01CF"/>
    <w:rsid w:val="00FD049E"/>
    <w:rsid w:val="00FD320D"/>
    <w:rsid w:val="00FD37B1"/>
    <w:rsid w:val="00FE23DE"/>
    <w:rsid w:val="00FE32D0"/>
    <w:rsid w:val="00FE40E7"/>
    <w:rsid w:val="00FF14A4"/>
    <w:rsid w:val="00FF3C42"/>
    <w:rsid w:val="00FF44D6"/>
    <w:rsid w:val="00FF5F29"/>
    <w:rsid w:val="0152070C"/>
    <w:rsid w:val="015D28CD"/>
    <w:rsid w:val="01CB4CB5"/>
    <w:rsid w:val="0222120C"/>
    <w:rsid w:val="032A08BF"/>
    <w:rsid w:val="034E22FF"/>
    <w:rsid w:val="035F2131"/>
    <w:rsid w:val="03641959"/>
    <w:rsid w:val="039830F1"/>
    <w:rsid w:val="03EF49BF"/>
    <w:rsid w:val="03F55A09"/>
    <w:rsid w:val="041A5C49"/>
    <w:rsid w:val="044412E6"/>
    <w:rsid w:val="045415A3"/>
    <w:rsid w:val="0491498E"/>
    <w:rsid w:val="04B073F7"/>
    <w:rsid w:val="04D93149"/>
    <w:rsid w:val="05526700"/>
    <w:rsid w:val="0555214E"/>
    <w:rsid w:val="058C6F62"/>
    <w:rsid w:val="05AB0F0F"/>
    <w:rsid w:val="05CB3411"/>
    <w:rsid w:val="05E23036"/>
    <w:rsid w:val="063C5E7A"/>
    <w:rsid w:val="0667328F"/>
    <w:rsid w:val="06680D11"/>
    <w:rsid w:val="067A4DE8"/>
    <w:rsid w:val="06BC4F18"/>
    <w:rsid w:val="06C0230E"/>
    <w:rsid w:val="06E15158"/>
    <w:rsid w:val="0700458E"/>
    <w:rsid w:val="0718142B"/>
    <w:rsid w:val="075D0324"/>
    <w:rsid w:val="077E0859"/>
    <w:rsid w:val="080C48FA"/>
    <w:rsid w:val="081439C7"/>
    <w:rsid w:val="08541F06"/>
    <w:rsid w:val="088C62B4"/>
    <w:rsid w:val="08A75D69"/>
    <w:rsid w:val="091135A8"/>
    <w:rsid w:val="09D94E35"/>
    <w:rsid w:val="0A382C50"/>
    <w:rsid w:val="0A550002"/>
    <w:rsid w:val="0A7E33C5"/>
    <w:rsid w:val="0B0F4EB2"/>
    <w:rsid w:val="0B331BEE"/>
    <w:rsid w:val="0C2A4705"/>
    <w:rsid w:val="0C491737"/>
    <w:rsid w:val="0C644C0C"/>
    <w:rsid w:val="0C8B34A5"/>
    <w:rsid w:val="0CA92D13"/>
    <w:rsid w:val="0CE7033B"/>
    <w:rsid w:val="0D567C26"/>
    <w:rsid w:val="0D643188"/>
    <w:rsid w:val="0DA63DB7"/>
    <w:rsid w:val="0E1D4B35"/>
    <w:rsid w:val="0E66622E"/>
    <w:rsid w:val="0F484622"/>
    <w:rsid w:val="0F513D47"/>
    <w:rsid w:val="0FD8068E"/>
    <w:rsid w:val="0FDC190E"/>
    <w:rsid w:val="1000054D"/>
    <w:rsid w:val="100777CE"/>
    <w:rsid w:val="101C207C"/>
    <w:rsid w:val="101D4F6D"/>
    <w:rsid w:val="1069354C"/>
    <w:rsid w:val="107564F3"/>
    <w:rsid w:val="10965DF6"/>
    <w:rsid w:val="10E22999"/>
    <w:rsid w:val="115D3D5B"/>
    <w:rsid w:val="11846C2B"/>
    <w:rsid w:val="121A60C9"/>
    <w:rsid w:val="128A347A"/>
    <w:rsid w:val="12905384"/>
    <w:rsid w:val="12943D8A"/>
    <w:rsid w:val="12A3059B"/>
    <w:rsid w:val="12CD73E7"/>
    <w:rsid w:val="13816A12"/>
    <w:rsid w:val="13B90CB9"/>
    <w:rsid w:val="13E66759"/>
    <w:rsid w:val="13EE1CEA"/>
    <w:rsid w:val="14BD5F22"/>
    <w:rsid w:val="14EC3135"/>
    <w:rsid w:val="151D59B2"/>
    <w:rsid w:val="154D1A47"/>
    <w:rsid w:val="155448E1"/>
    <w:rsid w:val="15D072F4"/>
    <w:rsid w:val="16A46379"/>
    <w:rsid w:val="179A3448"/>
    <w:rsid w:val="180D3B06"/>
    <w:rsid w:val="181908A9"/>
    <w:rsid w:val="188E1F7C"/>
    <w:rsid w:val="18914005"/>
    <w:rsid w:val="18D6206B"/>
    <w:rsid w:val="18E77982"/>
    <w:rsid w:val="18F77B7C"/>
    <w:rsid w:val="18F84792"/>
    <w:rsid w:val="194E1F14"/>
    <w:rsid w:val="19515A45"/>
    <w:rsid w:val="19A25679"/>
    <w:rsid w:val="19C32C9D"/>
    <w:rsid w:val="19D70B73"/>
    <w:rsid w:val="19E279AA"/>
    <w:rsid w:val="1A001722"/>
    <w:rsid w:val="1A2F5839"/>
    <w:rsid w:val="1A551442"/>
    <w:rsid w:val="1A671407"/>
    <w:rsid w:val="1AAE5D49"/>
    <w:rsid w:val="1AC64FC5"/>
    <w:rsid w:val="1B1F3EC4"/>
    <w:rsid w:val="1B3D45B5"/>
    <w:rsid w:val="1BD318B3"/>
    <w:rsid w:val="1C203591"/>
    <w:rsid w:val="1C3D5749"/>
    <w:rsid w:val="1CA23671"/>
    <w:rsid w:val="1CD96BE2"/>
    <w:rsid w:val="1CED4671"/>
    <w:rsid w:val="1D01508B"/>
    <w:rsid w:val="1D5E3B93"/>
    <w:rsid w:val="1DA63635"/>
    <w:rsid w:val="1DCD2970"/>
    <w:rsid w:val="1DEA3487"/>
    <w:rsid w:val="1DF208A2"/>
    <w:rsid w:val="1E041660"/>
    <w:rsid w:val="1E680535"/>
    <w:rsid w:val="1E7F2796"/>
    <w:rsid w:val="1EAA6E5D"/>
    <w:rsid w:val="1F0813F5"/>
    <w:rsid w:val="1F2E3F6F"/>
    <w:rsid w:val="1F3238C1"/>
    <w:rsid w:val="1F471485"/>
    <w:rsid w:val="1F5F1E04"/>
    <w:rsid w:val="200B39BF"/>
    <w:rsid w:val="205273F5"/>
    <w:rsid w:val="205E63BA"/>
    <w:rsid w:val="209B62BB"/>
    <w:rsid w:val="21240AF9"/>
    <w:rsid w:val="212E45FE"/>
    <w:rsid w:val="21461CA4"/>
    <w:rsid w:val="215179C9"/>
    <w:rsid w:val="21AD7E43"/>
    <w:rsid w:val="21CA7835"/>
    <w:rsid w:val="22574453"/>
    <w:rsid w:val="227E413A"/>
    <w:rsid w:val="22850613"/>
    <w:rsid w:val="228C6BB6"/>
    <w:rsid w:val="22AF59F3"/>
    <w:rsid w:val="22BD6C19"/>
    <w:rsid w:val="22C750B8"/>
    <w:rsid w:val="232B0864"/>
    <w:rsid w:val="23563407"/>
    <w:rsid w:val="235870FA"/>
    <w:rsid w:val="23681E5F"/>
    <w:rsid w:val="236E2EF3"/>
    <w:rsid w:val="237D2672"/>
    <w:rsid w:val="23B74027"/>
    <w:rsid w:val="23D05B86"/>
    <w:rsid w:val="24213A15"/>
    <w:rsid w:val="242515DF"/>
    <w:rsid w:val="24417C14"/>
    <w:rsid w:val="24725371"/>
    <w:rsid w:val="24843087"/>
    <w:rsid w:val="24B351C4"/>
    <w:rsid w:val="24C06D8A"/>
    <w:rsid w:val="255C61C5"/>
    <w:rsid w:val="25652A69"/>
    <w:rsid w:val="25A4571D"/>
    <w:rsid w:val="25B427E8"/>
    <w:rsid w:val="264B5FA1"/>
    <w:rsid w:val="26826DD5"/>
    <w:rsid w:val="26F50BF6"/>
    <w:rsid w:val="27180000"/>
    <w:rsid w:val="27750300"/>
    <w:rsid w:val="27BB7CDD"/>
    <w:rsid w:val="27FB5796"/>
    <w:rsid w:val="28040443"/>
    <w:rsid w:val="280D16C3"/>
    <w:rsid w:val="282A31F1"/>
    <w:rsid w:val="285919D0"/>
    <w:rsid w:val="28F97E04"/>
    <w:rsid w:val="29210AC9"/>
    <w:rsid w:val="29BA68FE"/>
    <w:rsid w:val="29BF5492"/>
    <w:rsid w:val="29CF0887"/>
    <w:rsid w:val="2A5F2835"/>
    <w:rsid w:val="2AAF1D7B"/>
    <w:rsid w:val="2AB05A97"/>
    <w:rsid w:val="2B2E4587"/>
    <w:rsid w:val="2B802A42"/>
    <w:rsid w:val="2BB178D0"/>
    <w:rsid w:val="2BB846C7"/>
    <w:rsid w:val="2BD80E5D"/>
    <w:rsid w:val="2BE2681E"/>
    <w:rsid w:val="2C045D45"/>
    <w:rsid w:val="2C200BF3"/>
    <w:rsid w:val="2C245B43"/>
    <w:rsid w:val="2C2E2368"/>
    <w:rsid w:val="2C2F7B89"/>
    <w:rsid w:val="2C4B74B9"/>
    <w:rsid w:val="2C556FF5"/>
    <w:rsid w:val="2CB6002F"/>
    <w:rsid w:val="2D092D6F"/>
    <w:rsid w:val="2D0A04D7"/>
    <w:rsid w:val="2DB2679C"/>
    <w:rsid w:val="2E5C271C"/>
    <w:rsid w:val="2EA638C9"/>
    <w:rsid w:val="2EE20057"/>
    <w:rsid w:val="2EF23F15"/>
    <w:rsid w:val="2F421715"/>
    <w:rsid w:val="2F810B39"/>
    <w:rsid w:val="2F936630"/>
    <w:rsid w:val="2F9D65AC"/>
    <w:rsid w:val="301B30AC"/>
    <w:rsid w:val="301B4C7C"/>
    <w:rsid w:val="303C73AF"/>
    <w:rsid w:val="30717C09"/>
    <w:rsid w:val="30964109"/>
    <w:rsid w:val="309645C5"/>
    <w:rsid w:val="30973AB7"/>
    <w:rsid w:val="30E82B05"/>
    <w:rsid w:val="30FF0771"/>
    <w:rsid w:val="314E3D74"/>
    <w:rsid w:val="31763A74"/>
    <w:rsid w:val="320A7897"/>
    <w:rsid w:val="322724D4"/>
    <w:rsid w:val="32A06C77"/>
    <w:rsid w:val="32B2605E"/>
    <w:rsid w:val="32F33A5C"/>
    <w:rsid w:val="33157E5C"/>
    <w:rsid w:val="336D75C2"/>
    <w:rsid w:val="33784AF5"/>
    <w:rsid w:val="337F6C11"/>
    <w:rsid w:val="338D077F"/>
    <w:rsid w:val="33B421B0"/>
    <w:rsid w:val="33D81396"/>
    <w:rsid w:val="33FF3DCE"/>
    <w:rsid w:val="34A55F9D"/>
    <w:rsid w:val="35DD481C"/>
    <w:rsid w:val="35E50281"/>
    <w:rsid w:val="363244F6"/>
    <w:rsid w:val="36A21E7F"/>
    <w:rsid w:val="36C450EA"/>
    <w:rsid w:val="36FB0E8C"/>
    <w:rsid w:val="370C77B6"/>
    <w:rsid w:val="37682375"/>
    <w:rsid w:val="37A90D79"/>
    <w:rsid w:val="383A26CD"/>
    <w:rsid w:val="384358B1"/>
    <w:rsid w:val="393670ED"/>
    <w:rsid w:val="39573D9E"/>
    <w:rsid w:val="39790CB6"/>
    <w:rsid w:val="39874713"/>
    <w:rsid w:val="39B42D52"/>
    <w:rsid w:val="39CD5D7A"/>
    <w:rsid w:val="3A257130"/>
    <w:rsid w:val="3A322A0A"/>
    <w:rsid w:val="3A3A1E13"/>
    <w:rsid w:val="3A7754FB"/>
    <w:rsid w:val="3ADD1FEC"/>
    <w:rsid w:val="3AF947CF"/>
    <w:rsid w:val="3B7C4BE2"/>
    <w:rsid w:val="3C805431"/>
    <w:rsid w:val="3D624E1B"/>
    <w:rsid w:val="3E060BCF"/>
    <w:rsid w:val="3E104D62"/>
    <w:rsid w:val="3E9550D9"/>
    <w:rsid w:val="3EEF0839"/>
    <w:rsid w:val="3FAF4340"/>
    <w:rsid w:val="3FD62425"/>
    <w:rsid w:val="40204914"/>
    <w:rsid w:val="405A6D68"/>
    <w:rsid w:val="40A7382E"/>
    <w:rsid w:val="40BC7C5D"/>
    <w:rsid w:val="40FB74F0"/>
    <w:rsid w:val="410822E6"/>
    <w:rsid w:val="41084A3F"/>
    <w:rsid w:val="415015B9"/>
    <w:rsid w:val="424234C2"/>
    <w:rsid w:val="4296514B"/>
    <w:rsid w:val="42BE1B28"/>
    <w:rsid w:val="42E17A99"/>
    <w:rsid w:val="43A463C5"/>
    <w:rsid w:val="43AE51AA"/>
    <w:rsid w:val="449767EB"/>
    <w:rsid w:val="44B9197E"/>
    <w:rsid w:val="44BE1658"/>
    <w:rsid w:val="455023B5"/>
    <w:rsid w:val="45D65DB4"/>
    <w:rsid w:val="460322B3"/>
    <w:rsid w:val="461351A3"/>
    <w:rsid w:val="4619280E"/>
    <w:rsid w:val="467576A4"/>
    <w:rsid w:val="46AE4DB5"/>
    <w:rsid w:val="46B04006"/>
    <w:rsid w:val="47504F42"/>
    <w:rsid w:val="476A6CB8"/>
    <w:rsid w:val="478C7118"/>
    <w:rsid w:val="478E7DD7"/>
    <w:rsid w:val="47961180"/>
    <w:rsid w:val="47976503"/>
    <w:rsid w:val="47B510B6"/>
    <w:rsid w:val="47D6229D"/>
    <w:rsid w:val="48A95C04"/>
    <w:rsid w:val="4919317B"/>
    <w:rsid w:val="4A4863E2"/>
    <w:rsid w:val="4AFB588F"/>
    <w:rsid w:val="4B1A19C7"/>
    <w:rsid w:val="4B2B0301"/>
    <w:rsid w:val="4B5D20B0"/>
    <w:rsid w:val="4B917087"/>
    <w:rsid w:val="4BC07BD6"/>
    <w:rsid w:val="4BCE6EEC"/>
    <w:rsid w:val="4CA45C4B"/>
    <w:rsid w:val="4CEB3E41"/>
    <w:rsid w:val="4D603D26"/>
    <w:rsid w:val="4E5C78E2"/>
    <w:rsid w:val="4F240427"/>
    <w:rsid w:val="4F3E7A6E"/>
    <w:rsid w:val="4F442D1B"/>
    <w:rsid w:val="4F691B6E"/>
    <w:rsid w:val="4F8F1E96"/>
    <w:rsid w:val="4FE95A27"/>
    <w:rsid w:val="4FEE5732"/>
    <w:rsid w:val="50336068"/>
    <w:rsid w:val="50391A42"/>
    <w:rsid w:val="509A0A79"/>
    <w:rsid w:val="50D018F0"/>
    <w:rsid w:val="50F43794"/>
    <w:rsid w:val="5126542F"/>
    <w:rsid w:val="51276734"/>
    <w:rsid w:val="51486689"/>
    <w:rsid w:val="51486C69"/>
    <w:rsid w:val="515E4C34"/>
    <w:rsid w:val="51EF4059"/>
    <w:rsid w:val="51F97AD8"/>
    <w:rsid w:val="520812A5"/>
    <w:rsid w:val="528935B6"/>
    <w:rsid w:val="52AB4331"/>
    <w:rsid w:val="52E2442E"/>
    <w:rsid w:val="530F1930"/>
    <w:rsid w:val="53250778"/>
    <w:rsid w:val="536440CB"/>
    <w:rsid w:val="537C3385"/>
    <w:rsid w:val="53D10891"/>
    <w:rsid w:val="53E9784A"/>
    <w:rsid w:val="53EB4CBE"/>
    <w:rsid w:val="540F6177"/>
    <w:rsid w:val="54371609"/>
    <w:rsid w:val="543E3443"/>
    <w:rsid w:val="54547074"/>
    <w:rsid w:val="54717338"/>
    <w:rsid w:val="54856AEF"/>
    <w:rsid w:val="54E80059"/>
    <w:rsid w:val="558A5663"/>
    <w:rsid w:val="55DF2C65"/>
    <w:rsid w:val="55E069DD"/>
    <w:rsid w:val="56455703"/>
    <w:rsid w:val="564B3E56"/>
    <w:rsid w:val="566525C3"/>
    <w:rsid w:val="56694C24"/>
    <w:rsid w:val="56782D10"/>
    <w:rsid w:val="56993EB4"/>
    <w:rsid w:val="56C62E6D"/>
    <w:rsid w:val="56D57C04"/>
    <w:rsid w:val="572C2F44"/>
    <w:rsid w:val="5743438D"/>
    <w:rsid w:val="57736809"/>
    <w:rsid w:val="57763155"/>
    <w:rsid w:val="5788330F"/>
    <w:rsid w:val="57944576"/>
    <w:rsid w:val="57DB2CB9"/>
    <w:rsid w:val="57EB194A"/>
    <w:rsid w:val="582B01B6"/>
    <w:rsid w:val="588B74FB"/>
    <w:rsid w:val="58A00174"/>
    <w:rsid w:val="58D32FA7"/>
    <w:rsid w:val="597E3F20"/>
    <w:rsid w:val="599C4B94"/>
    <w:rsid w:val="59D25CF3"/>
    <w:rsid w:val="5A0E7A30"/>
    <w:rsid w:val="5A1F40F6"/>
    <w:rsid w:val="5A9418A9"/>
    <w:rsid w:val="5ABA7D2B"/>
    <w:rsid w:val="5B3756B6"/>
    <w:rsid w:val="5B531B96"/>
    <w:rsid w:val="5B7934F9"/>
    <w:rsid w:val="5BC029D5"/>
    <w:rsid w:val="5C0A0D2B"/>
    <w:rsid w:val="5C522B03"/>
    <w:rsid w:val="5C5D701E"/>
    <w:rsid w:val="5CAA771D"/>
    <w:rsid w:val="5D36225A"/>
    <w:rsid w:val="5D3F3258"/>
    <w:rsid w:val="5DA12CF9"/>
    <w:rsid w:val="5DDD008C"/>
    <w:rsid w:val="5E0E085B"/>
    <w:rsid w:val="5E1A0629"/>
    <w:rsid w:val="5E823270"/>
    <w:rsid w:val="5EA60CB0"/>
    <w:rsid w:val="5EA72AC3"/>
    <w:rsid w:val="5EE56057"/>
    <w:rsid w:val="5EFA466C"/>
    <w:rsid w:val="5F456359"/>
    <w:rsid w:val="5F7E77B8"/>
    <w:rsid w:val="5F9F44D6"/>
    <w:rsid w:val="5FA16A73"/>
    <w:rsid w:val="602C4CF9"/>
    <w:rsid w:val="603264A4"/>
    <w:rsid w:val="606467B1"/>
    <w:rsid w:val="60837066"/>
    <w:rsid w:val="61261CDB"/>
    <w:rsid w:val="61492E4D"/>
    <w:rsid w:val="61F56B7E"/>
    <w:rsid w:val="62371F2F"/>
    <w:rsid w:val="626A1485"/>
    <w:rsid w:val="626F338E"/>
    <w:rsid w:val="62B00013"/>
    <w:rsid w:val="62B624F9"/>
    <w:rsid w:val="62CF71F7"/>
    <w:rsid w:val="62DD3054"/>
    <w:rsid w:val="632E6C44"/>
    <w:rsid w:val="633C59E3"/>
    <w:rsid w:val="63507156"/>
    <w:rsid w:val="63B523A0"/>
    <w:rsid w:val="63BD3030"/>
    <w:rsid w:val="63DB75A1"/>
    <w:rsid w:val="644A1BF1"/>
    <w:rsid w:val="64B013C2"/>
    <w:rsid w:val="64CE228D"/>
    <w:rsid w:val="657D778E"/>
    <w:rsid w:val="65885898"/>
    <w:rsid w:val="65D359AB"/>
    <w:rsid w:val="65D8621F"/>
    <w:rsid w:val="65FC1B34"/>
    <w:rsid w:val="663B2324"/>
    <w:rsid w:val="669E3068"/>
    <w:rsid w:val="66AB5C81"/>
    <w:rsid w:val="66BD7361"/>
    <w:rsid w:val="66C64EC5"/>
    <w:rsid w:val="66CF7707"/>
    <w:rsid w:val="670D6301"/>
    <w:rsid w:val="673E5614"/>
    <w:rsid w:val="67695F3D"/>
    <w:rsid w:val="6812748D"/>
    <w:rsid w:val="68172761"/>
    <w:rsid w:val="6871597E"/>
    <w:rsid w:val="687D5B7C"/>
    <w:rsid w:val="68F86704"/>
    <w:rsid w:val="69206B99"/>
    <w:rsid w:val="69417831"/>
    <w:rsid w:val="694D4F50"/>
    <w:rsid w:val="69DA38BA"/>
    <w:rsid w:val="6A3B28FD"/>
    <w:rsid w:val="6A713940"/>
    <w:rsid w:val="6A8B4D12"/>
    <w:rsid w:val="6AC26154"/>
    <w:rsid w:val="6B705BB2"/>
    <w:rsid w:val="6BCA2443"/>
    <w:rsid w:val="6BCD3CEA"/>
    <w:rsid w:val="6C2C7E2E"/>
    <w:rsid w:val="6CD00095"/>
    <w:rsid w:val="6D403BCC"/>
    <w:rsid w:val="6D707C67"/>
    <w:rsid w:val="6D860ABD"/>
    <w:rsid w:val="6D877A12"/>
    <w:rsid w:val="6DA203ED"/>
    <w:rsid w:val="6E3D5009"/>
    <w:rsid w:val="6E7B00D0"/>
    <w:rsid w:val="6EE55288"/>
    <w:rsid w:val="6F582A1E"/>
    <w:rsid w:val="709D69A7"/>
    <w:rsid w:val="70CC3ECC"/>
    <w:rsid w:val="71211228"/>
    <w:rsid w:val="71313AC1"/>
    <w:rsid w:val="714A6275"/>
    <w:rsid w:val="71B047FB"/>
    <w:rsid w:val="71B30B97"/>
    <w:rsid w:val="72376BF2"/>
    <w:rsid w:val="7256052C"/>
    <w:rsid w:val="726E2B62"/>
    <w:rsid w:val="728811CD"/>
    <w:rsid w:val="72AD517D"/>
    <w:rsid w:val="73102CF6"/>
    <w:rsid w:val="73403821"/>
    <w:rsid w:val="737F240C"/>
    <w:rsid w:val="7393582A"/>
    <w:rsid w:val="741017AF"/>
    <w:rsid w:val="744A1058"/>
    <w:rsid w:val="74695830"/>
    <w:rsid w:val="74E219D2"/>
    <w:rsid w:val="75263A42"/>
    <w:rsid w:val="753C2969"/>
    <w:rsid w:val="75470E99"/>
    <w:rsid w:val="75D31135"/>
    <w:rsid w:val="75EC28F0"/>
    <w:rsid w:val="75F2660E"/>
    <w:rsid w:val="75FC63BB"/>
    <w:rsid w:val="762329D5"/>
    <w:rsid w:val="767273FB"/>
    <w:rsid w:val="76E13D18"/>
    <w:rsid w:val="770602D9"/>
    <w:rsid w:val="77250AD5"/>
    <w:rsid w:val="77291F0E"/>
    <w:rsid w:val="7875412E"/>
    <w:rsid w:val="78A82EB6"/>
    <w:rsid w:val="78C95DB6"/>
    <w:rsid w:val="78E35CC5"/>
    <w:rsid w:val="793B5B55"/>
    <w:rsid w:val="7951056C"/>
    <w:rsid w:val="797C0F60"/>
    <w:rsid w:val="79A757A5"/>
    <w:rsid w:val="7A2634D8"/>
    <w:rsid w:val="7A5524F4"/>
    <w:rsid w:val="7A6A32E4"/>
    <w:rsid w:val="7A7237F8"/>
    <w:rsid w:val="7AFC2365"/>
    <w:rsid w:val="7B1B3108"/>
    <w:rsid w:val="7B322D2D"/>
    <w:rsid w:val="7B416B52"/>
    <w:rsid w:val="7B5E0BFF"/>
    <w:rsid w:val="7B664481"/>
    <w:rsid w:val="7B702D30"/>
    <w:rsid w:val="7B7F37D9"/>
    <w:rsid w:val="7BF7492E"/>
    <w:rsid w:val="7C042EBF"/>
    <w:rsid w:val="7C51110B"/>
    <w:rsid w:val="7C623A41"/>
    <w:rsid w:val="7C657B82"/>
    <w:rsid w:val="7C9655F2"/>
    <w:rsid w:val="7C9712F4"/>
    <w:rsid w:val="7CBB4DB2"/>
    <w:rsid w:val="7D2E3896"/>
    <w:rsid w:val="7D410299"/>
    <w:rsid w:val="7D5D23BD"/>
    <w:rsid w:val="7D63567A"/>
    <w:rsid w:val="7D820328"/>
    <w:rsid w:val="7E385041"/>
    <w:rsid w:val="7E4D6442"/>
    <w:rsid w:val="7E737791"/>
    <w:rsid w:val="7E7933A7"/>
    <w:rsid w:val="7E8A140D"/>
    <w:rsid w:val="7EE67D96"/>
    <w:rsid w:val="7EE90CC8"/>
    <w:rsid w:val="7F0569E9"/>
    <w:rsid w:val="7F8F6BFA"/>
    <w:rsid w:val="7FC5602F"/>
    <w:rsid w:val="7FE228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42"/>
    <w:qFormat/>
    <w:uiPriority w:val="0"/>
    <w:pPr>
      <w:spacing w:before="100" w:beforeAutospacing="1" w:after="100" w:afterAutospacing="1"/>
      <w:jc w:val="left"/>
      <w:outlineLvl w:val="2"/>
    </w:pPr>
    <w:rPr>
      <w:rFonts w:ascii="宋体" w:hAnsi="宋体"/>
      <w:b/>
      <w:bCs/>
      <w:kern w:val="0"/>
      <w:sz w:val="27"/>
      <w:szCs w:val="27"/>
    </w:rPr>
  </w:style>
  <w:style w:type="character" w:default="1" w:styleId="35">
    <w:name w:val="Default Paragraph Font"/>
    <w:semiHidden/>
    <w:qFormat/>
    <w:uiPriority w:val="0"/>
  </w:style>
  <w:style w:type="table" w:default="1" w:styleId="33">
    <w:name w:val="Normal Table"/>
    <w:semiHidden/>
    <w:qFormat/>
    <w:uiPriority w:val="0"/>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2"/>
      </w:tabs>
      <w:suppressAutoHyphens w:val="0"/>
      <w:ind w:firstLine="105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link w:val="43"/>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Body Text"/>
    <w:basedOn w:val="1"/>
    <w:link w:val="44"/>
    <w:qFormat/>
    <w:uiPriority w:val="99"/>
    <w:pPr>
      <w:autoSpaceDE w:val="0"/>
      <w:autoSpaceDN w:val="0"/>
      <w:adjustRightInd w:val="0"/>
      <w:jc w:val="left"/>
    </w:pPr>
    <w:rPr>
      <w:rFonts w:ascii="宋体"/>
      <w:kern w:val="0"/>
      <w:szCs w:val="21"/>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2"/>
      </w:tabs>
      <w:suppressAutoHyphens w:val="0"/>
      <w:ind w:firstLine="630" w:firstLineChars="300"/>
      <w:jc w:val="left"/>
    </w:pPr>
    <w:rPr>
      <w:rFonts w:ascii="宋体"/>
      <w:szCs w:val="21"/>
    </w:rPr>
  </w:style>
  <w:style w:type="paragraph" w:styleId="13">
    <w:name w:val="toc 3"/>
    <w:basedOn w:val="1"/>
    <w:next w:val="1"/>
    <w:semiHidden/>
    <w:qFormat/>
    <w:uiPriority w:val="0"/>
    <w:pPr>
      <w:tabs>
        <w:tab w:val="right" w:leader="dot" w:pos="9242"/>
      </w:tabs>
      <w:suppressAutoHyphens w:val="0"/>
      <w:ind w:firstLine="210" w:firstLineChars="100"/>
      <w:jc w:val="left"/>
    </w:pPr>
    <w:rPr>
      <w:rFonts w:ascii="宋体"/>
      <w:szCs w:val="21"/>
    </w:rPr>
  </w:style>
  <w:style w:type="paragraph" w:styleId="14">
    <w:name w:val="toc 8"/>
    <w:basedOn w:val="1"/>
    <w:next w:val="1"/>
    <w:semiHidden/>
    <w:qFormat/>
    <w:uiPriority w:val="0"/>
    <w:pPr>
      <w:tabs>
        <w:tab w:val="right" w:leader="dot" w:pos="9242"/>
      </w:tabs>
      <w:suppressAutoHyphens w:val="0"/>
      <w:ind w:firstLine="1260"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45"/>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semiHidden/>
    <w:qFormat/>
    <w:uiPriority w:val="0"/>
    <w:pPr>
      <w:tabs>
        <w:tab w:val="right" w:leader="dot" w:pos="9242"/>
      </w:tabs>
      <w:spacing w:before="79" w:beforeLines="25" w:after="79" w:afterLines="25"/>
      <w:jc w:val="left"/>
    </w:pPr>
    <w:rPr>
      <w:rFonts w:ascii="宋体"/>
      <w:szCs w:val="21"/>
    </w:rPr>
  </w:style>
  <w:style w:type="paragraph" w:styleId="21">
    <w:name w:val="toc 4"/>
    <w:basedOn w:val="1"/>
    <w:next w:val="1"/>
    <w:semiHidden/>
    <w:qFormat/>
    <w:uiPriority w:val="0"/>
    <w:pPr>
      <w:tabs>
        <w:tab w:val="right" w:leader="dot" w:pos="9242"/>
      </w:tabs>
      <w:suppressAutoHyphens w:val="0"/>
      <w:ind w:firstLine="42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2"/>
      </w:tabs>
      <w:suppressAutoHyphens w:val="0"/>
      <w:ind w:firstLine="840"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2"/>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index 2"/>
    <w:basedOn w:val="1"/>
    <w:next w:val="1"/>
    <w:qFormat/>
    <w:uiPriority w:val="0"/>
    <w:pPr>
      <w:ind w:left="420" w:hanging="210"/>
      <w:jc w:val="left"/>
    </w:pPr>
    <w:rPr>
      <w:rFonts w:ascii="Calibri" w:hAnsi="Calibri"/>
      <w:sz w:val="20"/>
      <w:szCs w:val="20"/>
    </w:rPr>
  </w:style>
  <w:style w:type="paragraph" w:styleId="32">
    <w:name w:val="annotation subject"/>
    <w:basedOn w:val="8"/>
    <w:next w:val="8"/>
    <w:link w:val="47"/>
    <w:qFormat/>
    <w:uiPriority w:val="0"/>
    <w:rPr>
      <w:b/>
      <w:bCs/>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Hyperlink"/>
    <w:qFormat/>
    <w:uiPriority w:val="0"/>
    <w:rPr>
      <w:color w:val="0000FF"/>
      <w:spacing w:val="0"/>
      <w:w w:val="100"/>
      <w:szCs w:val="21"/>
      <w:u w:val="single"/>
    </w:rPr>
  </w:style>
  <w:style w:type="character" w:styleId="40">
    <w:name w:val="annotation reference"/>
    <w:qFormat/>
    <w:uiPriority w:val="0"/>
    <w:rPr>
      <w:sz w:val="21"/>
      <w:szCs w:val="21"/>
    </w:rPr>
  </w:style>
  <w:style w:type="character" w:styleId="41">
    <w:name w:val="footnote reference"/>
    <w:qFormat/>
    <w:uiPriority w:val="0"/>
    <w:rPr>
      <w:vertAlign w:val="superscript"/>
    </w:rPr>
  </w:style>
  <w:style w:type="character" w:customStyle="1" w:styleId="42">
    <w:name w:val="标题 3 Char"/>
    <w:link w:val="2"/>
    <w:qFormat/>
    <w:uiPriority w:val="0"/>
    <w:rPr>
      <w:rFonts w:ascii="宋体" w:hAnsi="宋体"/>
      <w:b/>
      <w:bCs/>
      <w:sz w:val="27"/>
      <w:szCs w:val="27"/>
    </w:rPr>
  </w:style>
  <w:style w:type="character" w:customStyle="1" w:styleId="43">
    <w:name w:val="批注文字 Char"/>
    <w:link w:val="8"/>
    <w:qFormat/>
    <w:uiPriority w:val="0"/>
    <w:rPr>
      <w:kern w:val="2"/>
      <w:sz w:val="21"/>
      <w:szCs w:val="24"/>
    </w:rPr>
  </w:style>
  <w:style w:type="character" w:customStyle="1" w:styleId="44">
    <w:name w:val="正文文本 Char"/>
    <w:link w:val="10"/>
    <w:qFormat/>
    <w:uiPriority w:val="99"/>
    <w:rPr>
      <w:rFonts w:ascii="宋体" w:cs="宋体"/>
      <w:sz w:val="21"/>
      <w:szCs w:val="21"/>
    </w:rPr>
  </w:style>
  <w:style w:type="character" w:customStyle="1" w:styleId="45">
    <w:name w:val="批注框文本 Char"/>
    <w:link w:val="17"/>
    <w:qFormat/>
    <w:uiPriority w:val="0"/>
    <w:rPr>
      <w:kern w:val="2"/>
      <w:sz w:val="18"/>
      <w:szCs w:val="18"/>
    </w:rPr>
  </w:style>
  <w:style w:type="character" w:customStyle="1" w:styleId="46">
    <w:name w:val="段 Char"/>
    <w:link w:val="24"/>
    <w:qFormat/>
    <w:uiPriority w:val="0"/>
    <w:rPr>
      <w:rFonts w:ascii="宋体"/>
      <w:sz w:val="21"/>
      <w:lang w:val="en-US" w:eastAsia="zh-CN" w:bidi="ar-SA"/>
    </w:rPr>
  </w:style>
  <w:style w:type="character" w:customStyle="1" w:styleId="47">
    <w:name w:val="批注主题 Char"/>
    <w:link w:val="32"/>
    <w:qFormat/>
    <w:uiPriority w:val="0"/>
    <w:rPr>
      <w:b/>
      <w:bCs/>
      <w:kern w:val="2"/>
      <w:sz w:val="21"/>
      <w:szCs w:val="24"/>
    </w:rPr>
  </w:style>
  <w:style w:type="paragraph" w:customStyle="1" w:styleId="48">
    <w:name w:val="一级条标题"/>
    <w:next w:val="24"/>
    <w:qFormat/>
    <w:uiPriority w:val="0"/>
    <w:pPr>
      <w:numPr>
        <w:ilvl w:val="1"/>
        <w:numId w:val="2"/>
      </w:numPr>
      <w:spacing w:before="50" w:beforeLines="50" w:after="50" w:afterLines="50"/>
      <w:ind w:left="0"/>
      <w:outlineLvl w:val="2"/>
    </w:pPr>
    <w:rPr>
      <w:rFonts w:ascii="黑体" w:hAnsi="黑体" w:eastAsia="黑体" w:cs="Times New Roman"/>
      <w:sz w:val="21"/>
      <w:szCs w:val="21"/>
      <w:lang w:val="en-US" w:eastAsia="zh-CN" w:bidi="ar-SA"/>
    </w:rPr>
  </w:style>
  <w:style w:type="paragraph" w:customStyle="1" w:styleId="4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1">
    <w:name w:val="章标题"/>
    <w:next w:val="24"/>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2">
    <w:name w:val="二级条标题"/>
    <w:basedOn w:val="48"/>
    <w:next w:val="24"/>
    <w:qFormat/>
    <w:uiPriority w:val="0"/>
    <w:pPr>
      <w:numPr>
        <w:ilvl w:val="2"/>
        <w:numId w:val="2"/>
      </w:numPr>
      <w:spacing w:before="50" w:after="50"/>
      <w:outlineLvl w:val="3"/>
    </w:pPr>
  </w:style>
  <w:style w:type="paragraph" w:customStyle="1" w:styleId="5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5">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6">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7">
    <w:name w:val="三级条标题"/>
    <w:basedOn w:val="52"/>
    <w:next w:val="24"/>
    <w:qFormat/>
    <w:uiPriority w:val="0"/>
    <w:pPr>
      <w:numPr>
        <w:ilvl w:val="0"/>
        <w:numId w:val="0"/>
      </w:numPr>
      <w:outlineLvl w:val="4"/>
    </w:pPr>
  </w:style>
  <w:style w:type="paragraph" w:customStyle="1" w:styleId="58">
    <w:name w:val="示例"/>
    <w:next w:val="59"/>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1">
    <w:name w:val="四级条标题"/>
    <w:basedOn w:val="57"/>
    <w:next w:val="24"/>
    <w:qFormat/>
    <w:uiPriority w:val="0"/>
    <w:pPr>
      <w:numPr>
        <w:ilvl w:val="4"/>
        <w:numId w:val="2"/>
      </w:numPr>
      <w:outlineLvl w:val="5"/>
    </w:pPr>
  </w:style>
  <w:style w:type="paragraph" w:customStyle="1" w:styleId="62">
    <w:name w:val="五级条标题"/>
    <w:basedOn w:val="61"/>
    <w:next w:val="24"/>
    <w:qFormat/>
    <w:uiPriority w:val="0"/>
    <w:pPr>
      <w:numPr>
        <w:ilvl w:val="5"/>
        <w:numId w:val="2"/>
      </w:numPr>
      <w:outlineLvl w:val="6"/>
    </w:pPr>
  </w:style>
  <w:style w:type="paragraph" w:customStyle="1" w:styleId="63">
    <w:name w:val="注："/>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4">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6">
    <w:name w:val="列项◆（三级）"/>
    <w:basedOn w:val="1"/>
    <w:qFormat/>
    <w:uiPriority w:val="0"/>
    <w:pPr>
      <w:numPr>
        <w:ilvl w:val="2"/>
        <w:numId w:val="3"/>
      </w:numPr>
    </w:pPr>
    <w:rPr>
      <w:rFonts w:ascii="宋体"/>
      <w:szCs w:val="21"/>
    </w:rPr>
  </w:style>
  <w:style w:type="paragraph" w:customStyle="1" w:styleId="67">
    <w:name w:val="编号列项（三级）"/>
    <w:qFormat/>
    <w:uiPriority w:val="0"/>
    <w:rPr>
      <w:rFonts w:ascii="宋体" w:hAnsi="Times New Roman" w:eastAsia="宋体" w:cs="Times New Roman"/>
      <w:sz w:val="21"/>
      <w:lang w:val="en-US" w:eastAsia="zh-CN" w:bidi="ar-SA"/>
    </w:rPr>
  </w:style>
  <w:style w:type="paragraph" w:customStyle="1" w:styleId="68">
    <w:name w:val="示例×："/>
    <w:basedOn w:val="51"/>
    <w:qFormat/>
    <w:uiPriority w:val="0"/>
    <w:pPr>
      <w:numPr>
        <w:ilvl w:val="0"/>
        <w:numId w:val="8"/>
      </w:numPr>
      <w:spacing w:before="0" w:beforeLines="0" w:after="0" w:afterLines="0"/>
      <w:outlineLvl w:val="9"/>
    </w:pPr>
    <w:rPr>
      <w:rFonts w:ascii="宋体" w:eastAsia="宋体"/>
      <w:sz w:val="18"/>
      <w:szCs w:val="18"/>
    </w:rPr>
  </w:style>
  <w:style w:type="paragraph" w:customStyle="1" w:styleId="69">
    <w:name w:val="二级无"/>
    <w:basedOn w:val="52"/>
    <w:qFormat/>
    <w:uiPriority w:val="0"/>
    <w:pPr>
      <w:spacing w:before="0" w:beforeLines="0" w:after="0" w:afterLines="0"/>
    </w:pPr>
    <w:rPr>
      <w:rFonts w:ascii="宋体" w:eastAsia="宋体"/>
    </w:rPr>
  </w:style>
  <w:style w:type="paragraph" w:customStyle="1" w:styleId="70">
    <w:name w:val="注：（正文）"/>
    <w:basedOn w:val="63"/>
    <w:next w:val="24"/>
    <w:qFormat/>
    <w:uiPriority w:val="0"/>
    <w:pPr>
      <w:numPr>
        <w:ilvl w:val="0"/>
        <w:numId w:val="9"/>
      </w:numPr>
    </w:pPr>
  </w:style>
  <w:style w:type="paragraph" w:customStyle="1" w:styleId="71">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7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5">
    <w:name w:val="标准书眉_偶数页"/>
    <w:basedOn w:val="50"/>
    <w:next w:val="1"/>
    <w:qFormat/>
    <w:uiPriority w:val="0"/>
    <w:pPr>
      <w:jc w:val="left"/>
    </w:pPr>
    <w:rPr>
      <w:rFonts w:ascii="黑体" w:eastAsia="黑体"/>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8">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9">
    <w:name w:val="发布"/>
    <w:qFormat/>
    <w:uiPriority w:val="0"/>
    <w:rPr>
      <w:rFonts w:ascii="黑体" w:eastAsia="黑体"/>
      <w:spacing w:val="85"/>
      <w:w w:val="100"/>
      <w:position w:val="3"/>
      <w:sz w:val="28"/>
      <w:szCs w:val="28"/>
    </w:rPr>
  </w:style>
  <w:style w:type="paragraph" w:customStyle="1" w:styleId="80">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5">
    <w:name w:val="封面标准英文名称"/>
    <w:basedOn w:val="84"/>
    <w:qFormat/>
    <w:uiPriority w:val="0"/>
    <w:pPr>
      <w:spacing w:before="370" w:line="400" w:lineRule="exact"/>
    </w:pPr>
    <w:rPr>
      <w:rFonts w:ascii="Times New Roman"/>
      <w:sz w:val="28"/>
      <w:szCs w:val="28"/>
    </w:rPr>
  </w:style>
  <w:style w:type="paragraph" w:customStyle="1" w:styleId="86">
    <w:name w:val="封面一致性程度标识"/>
    <w:basedOn w:val="85"/>
    <w:qFormat/>
    <w:uiPriority w:val="0"/>
    <w:pPr>
      <w:spacing w:before="440"/>
    </w:pPr>
    <w:rPr>
      <w:rFonts w:ascii="宋体" w:eastAsia="宋体"/>
    </w:rPr>
  </w:style>
  <w:style w:type="paragraph" w:customStyle="1" w:styleId="87">
    <w:name w:val="封面标准文稿类别"/>
    <w:basedOn w:val="86"/>
    <w:qFormat/>
    <w:uiPriority w:val="0"/>
    <w:pPr>
      <w:spacing w:after="160" w:line="240" w:lineRule="auto"/>
    </w:pPr>
    <w:rPr>
      <w:sz w:val="24"/>
    </w:rPr>
  </w:style>
  <w:style w:type="paragraph" w:customStyle="1" w:styleId="88">
    <w:name w:val="封面标准文稿编辑信息"/>
    <w:basedOn w:val="87"/>
    <w:qFormat/>
    <w:uiPriority w:val="0"/>
    <w:pPr>
      <w:spacing w:before="180" w:line="180" w:lineRule="exact"/>
    </w:pPr>
    <w:rPr>
      <w:sz w:val="21"/>
    </w:rPr>
  </w:style>
  <w:style w:type="paragraph" w:customStyle="1" w:styleId="89">
    <w:name w:val="封面正文"/>
    <w:qFormat/>
    <w:uiPriority w:val="0"/>
    <w:pPr>
      <w:jc w:val="both"/>
    </w:pPr>
    <w:rPr>
      <w:rFonts w:ascii="Times New Roman" w:hAnsi="Times New Roman" w:eastAsia="宋体" w:cs="Times New Roman"/>
      <w:lang w:val="en-US" w:eastAsia="zh-CN" w:bidi="ar-SA"/>
    </w:rPr>
  </w:style>
  <w:style w:type="paragraph" w:customStyle="1" w:styleId="90">
    <w:name w:val="附录标识"/>
    <w:basedOn w:val="1"/>
    <w:next w:val="24"/>
    <w:qFormat/>
    <w:uiPriority w:val="0"/>
    <w:pPr>
      <w:keepNext/>
      <w:widowControl/>
      <w:numPr>
        <w:ilvl w:val="0"/>
        <w:numId w:val="11"/>
      </w:numPr>
      <w:shd w:val="clear" w:color="FFFFFF" w:fill="FFFFFF"/>
      <w:tabs>
        <w:tab w:val="left" w:pos="360"/>
        <w:tab w:val="left" w:pos="6405"/>
      </w:tabs>
      <w:spacing w:before="640" w:after="280"/>
      <w:ind w:left="0"/>
      <w:jc w:val="center"/>
      <w:outlineLvl w:val="0"/>
    </w:pPr>
    <w:rPr>
      <w:rFonts w:ascii="黑体" w:hAnsi="黑体" w:eastAsia="黑体"/>
      <w:kern w:val="0"/>
      <w:szCs w:val="20"/>
    </w:rPr>
  </w:style>
  <w:style w:type="paragraph" w:customStyle="1" w:styleId="91">
    <w:name w:val="附录标题"/>
    <w:basedOn w:val="24"/>
    <w:next w:val="24"/>
    <w:qFormat/>
    <w:uiPriority w:val="0"/>
    <w:pPr>
      <w:ind w:firstLine="0" w:firstLineChars="0"/>
      <w:jc w:val="center"/>
    </w:pPr>
    <w:rPr>
      <w:rFonts w:ascii="黑体" w:eastAsia="黑体"/>
    </w:rPr>
  </w:style>
  <w:style w:type="paragraph" w:customStyle="1" w:styleId="92">
    <w:name w:val="附录表标号"/>
    <w:basedOn w:val="1"/>
    <w:next w:val="24"/>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3">
    <w:name w:val="附录表标题"/>
    <w:basedOn w:val="1"/>
    <w:next w:val="24"/>
    <w:qFormat/>
    <w:uiPriority w:val="0"/>
    <w:pPr>
      <w:numPr>
        <w:ilvl w:val="1"/>
        <w:numId w:val="12"/>
      </w:numPr>
      <w:tabs>
        <w:tab w:val="left" w:pos="180"/>
      </w:tabs>
      <w:spacing w:before="50" w:beforeLines="50" w:after="50" w:afterLines="50"/>
      <w:ind w:left="0" w:firstLine="0"/>
      <w:jc w:val="center"/>
    </w:pPr>
    <w:rPr>
      <w:rFonts w:ascii="黑体" w:hAnsi="黑体" w:eastAsia="黑体"/>
      <w:szCs w:val="21"/>
    </w:rPr>
  </w:style>
  <w:style w:type="paragraph" w:customStyle="1" w:styleId="94">
    <w:name w:val="附录二级条标题"/>
    <w:basedOn w:val="1"/>
    <w:next w:val="24"/>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5">
    <w:name w:val="附录二级无"/>
    <w:basedOn w:val="94"/>
    <w:qFormat/>
    <w:uiPriority w:val="0"/>
    <w:pPr>
      <w:tabs>
        <w:tab w:val="clear" w:pos="360"/>
      </w:tabs>
      <w:spacing w:before="0" w:beforeLines="0" w:after="0" w:afterLines="0"/>
    </w:pPr>
    <w:rPr>
      <w:rFonts w:ascii="宋体" w:eastAsia="宋体"/>
      <w:szCs w:val="21"/>
    </w:rPr>
  </w:style>
  <w:style w:type="paragraph" w:customStyle="1" w:styleId="96">
    <w:name w:val="附录公式"/>
    <w:basedOn w:val="24"/>
    <w:next w:val="24"/>
    <w:link w:val="97"/>
    <w:qFormat/>
    <w:uiPriority w:val="0"/>
    <w:rPr>
      <w:rFonts w:ascii="Times New Roman"/>
      <w:sz w:val="20"/>
    </w:rPr>
  </w:style>
  <w:style w:type="character" w:customStyle="1" w:styleId="97">
    <w:name w:val="附录公式 Char"/>
    <w:link w:val="96"/>
    <w:qFormat/>
    <w:uiPriority w:val="0"/>
    <w:rPr>
      <w:lang w:val="en-US" w:eastAsia="zh-CN" w:bidi="ar-SA"/>
    </w:rPr>
  </w:style>
  <w:style w:type="paragraph" w:customStyle="1" w:styleId="98">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9">
    <w:name w:val="附录三级条标题"/>
    <w:basedOn w:val="94"/>
    <w:next w:val="24"/>
    <w:qFormat/>
    <w:uiPriority w:val="0"/>
    <w:pPr>
      <w:numPr>
        <w:ilvl w:val="4"/>
        <w:numId w:val="11"/>
      </w:numPr>
      <w:outlineLvl w:val="4"/>
    </w:pPr>
  </w:style>
  <w:style w:type="paragraph" w:customStyle="1" w:styleId="100">
    <w:name w:val="附录三级无"/>
    <w:basedOn w:val="99"/>
    <w:qFormat/>
    <w:uiPriority w:val="0"/>
    <w:pPr>
      <w:tabs>
        <w:tab w:val="clear" w:pos="360"/>
      </w:tabs>
      <w:spacing w:before="0" w:beforeLines="0" w:after="0" w:afterLines="0"/>
    </w:pPr>
    <w:rPr>
      <w:rFonts w:ascii="宋体" w:eastAsia="宋体"/>
      <w:szCs w:val="21"/>
    </w:rPr>
  </w:style>
  <w:style w:type="paragraph" w:customStyle="1" w:styleId="101">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102">
    <w:name w:val="附录四级条标题"/>
    <w:basedOn w:val="99"/>
    <w:next w:val="24"/>
    <w:qFormat/>
    <w:uiPriority w:val="0"/>
    <w:pPr>
      <w:numPr>
        <w:ilvl w:val="5"/>
        <w:numId w:val="11"/>
      </w:numPr>
      <w:outlineLvl w:val="5"/>
    </w:pPr>
  </w:style>
  <w:style w:type="paragraph" w:customStyle="1" w:styleId="103">
    <w:name w:val="附录四级无"/>
    <w:basedOn w:val="102"/>
    <w:qFormat/>
    <w:uiPriority w:val="0"/>
    <w:pPr>
      <w:tabs>
        <w:tab w:val="clear" w:pos="360"/>
      </w:tabs>
      <w:spacing w:before="0" w:beforeLines="0" w:after="0" w:afterLines="0"/>
    </w:pPr>
    <w:rPr>
      <w:rFonts w:ascii="宋体" w:eastAsia="宋体"/>
      <w:szCs w:val="21"/>
    </w:rPr>
  </w:style>
  <w:style w:type="paragraph" w:customStyle="1" w:styleId="104">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5">
    <w:name w:val="附录图标题"/>
    <w:basedOn w:val="1"/>
    <w:next w:val="24"/>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06">
    <w:name w:val="附录五级条标题"/>
    <w:basedOn w:val="102"/>
    <w:next w:val="24"/>
    <w:qFormat/>
    <w:uiPriority w:val="0"/>
    <w:pPr>
      <w:numPr>
        <w:ilvl w:val="6"/>
        <w:numId w:val="11"/>
      </w:numPr>
      <w:outlineLvl w:val="6"/>
    </w:pPr>
  </w:style>
  <w:style w:type="paragraph" w:customStyle="1" w:styleId="107">
    <w:name w:val="附录五级无"/>
    <w:basedOn w:val="106"/>
    <w:qFormat/>
    <w:uiPriority w:val="0"/>
    <w:pPr>
      <w:tabs>
        <w:tab w:val="clear" w:pos="360"/>
      </w:tabs>
      <w:spacing w:before="0" w:beforeLines="0" w:after="0" w:afterLines="0"/>
    </w:pPr>
    <w:rPr>
      <w:rFonts w:ascii="宋体" w:eastAsia="宋体"/>
      <w:szCs w:val="21"/>
    </w:rPr>
  </w:style>
  <w:style w:type="paragraph" w:customStyle="1" w:styleId="108">
    <w:name w:val="附录章标题"/>
    <w:next w:val="24"/>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9">
    <w:name w:val="附录一级条标题"/>
    <w:basedOn w:val="108"/>
    <w:next w:val="24"/>
    <w:qFormat/>
    <w:uiPriority w:val="0"/>
    <w:pPr>
      <w:numPr>
        <w:ilvl w:val="2"/>
        <w:numId w:val="11"/>
      </w:numPr>
      <w:autoSpaceDN w:val="0"/>
      <w:spacing w:before="50" w:beforeLines="50" w:after="50" w:afterLines="50"/>
      <w:outlineLvl w:val="2"/>
    </w:pPr>
  </w:style>
  <w:style w:type="paragraph" w:customStyle="1" w:styleId="110">
    <w:name w:val="附录一级无"/>
    <w:basedOn w:val="109"/>
    <w:qFormat/>
    <w:uiPriority w:val="0"/>
    <w:pPr>
      <w:tabs>
        <w:tab w:val="clear" w:pos="360"/>
      </w:tabs>
      <w:spacing w:before="0" w:beforeLines="0" w:after="0" w:afterLines="0"/>
    </w:pPr>
    <w:rPr>
      <w:rFonts w:ascii="宋体" w:eastAsia="宋体"/>
      <w:szCs w:val="21"/>
    </w:rPr>
  </w:style>
  <w:style w:type="paragraph" w:customStyle="1" w:styleId="111">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1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5">
    <w:name w:val="其他标准标志"/>
    <w:basedOn w:val="72"/>
    <w:qFormat/>
    <w:uiPriority w:val="0"/>
    <w:pPr>
      <w:framePr w:w="6101" w:vAnchor="page" w:hAnchor="page" w:x="4673" w:y="942"/>
    </w:pPr>
    <w:rPr>
      <w:w w:val="130"/>
    </w:rPr>
  </w:style>
  <w:style w:type="paragraph" w:customStyle="1" w:styleId="11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7">
    <w:name w:val="其他发布部门"/>
    <w:basedOn w:val="80"/>
    <w:qFormat/>
    <w:uiPriority w:val="0"/>
    <w:pPr>
      <w:framePr w:y="15310"/>
      <w:spacing w:line="0" w:lineRule="atLeast"/>
    </w:pPr>
    <w:rPr>
      <w:rFonts w:ascii="黑体" w:eastAsia="黑体"/>
      <w:b w:val="0"/>
    </w:rPr>
  </w:style>
  <w:style w:type="paragraph" w:customStyle="1" w:styleId="118">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9">
    <w:name w:val="三级无"/>
    <w:basedOn w:val="57"/>
    <w:qFormat/>
    <w:uiPriority w:val="0"/>
    <w:pPr>
      <w:spacing w:before="0" w:beforeLines="0" w:after="0" w:afterLines="0"/>
    </w:pPr>
    <w:rPr>
      <w:rFonts w:ascii="宋体" w:eastAsia="宋体"/>
    </w:rPr>
  </w:style>
  <w:style w:type="paragraph" w:customStyle="1" w:styleId="120">
    <w:name w:val="实施日期"/>
    <w:basedOn w:val="81"/>
    <w:qFormat/>
    <w:uiPriority w:val="0"/>
    <w:pPr>
      <w:framePr w:vAnchor="page" w:hAnchor="page"/>
      <w:jc w:val="right"/>
    </w:pPr>
  </w:style>
  <w:style w:type="paragraph" w:customStyle="1" w:styleId="121">
    <w:name w:val="示例后文字"/>
    <w:basedOn w:val="24"/>
    <w:next w:val="24"/>
    <w:qFormat/>
    <w:uiPriority w:val="0"/>
    <w:pPr>
      <w:ind w:firstLine="360"/>
    </w:pPr>
    <w:rPr>
      <w:sz w:val="18"/>
    </w:rPr>
  </w:style>
  <w:style w:type="paragraph" w:customStyle="1" w:styleId="122">
    <w:name w:val="首示例"/>
    <w:next w:val="24"/>
    <w:link w:val="123"/>
    <w:qFormat/>
    <w:uiPriority w:val="0"/>
    <w:pPr>
      <w:numPr>
        <w:ilvl w:val="0"/>
        <w:numId w:val="15"/>
      </w:numPr>
      <w:tabs>
        <w:tab w:val="left" w:pos="360"/>
      </w:tabs>
      <w:ind w:firstLine="0"/>
    </w:pPr>
    <w:rPr>
      <w:rFonts w:ascii="宋体" w:hAnsi="宋体" w:eastAsia="宋体" w:cs="Times New Roman"/>
      <w:kern w:val="2"/>
      <w:sz w:val="18"/>
      <w:szCs w:val="18"/>
      <w:lang w:bidi="ar-SA"/>
    </w:rPr>
  </w:style>
  <w:style w:type="character" w:customStyle="1" w:styleId="123">
    <w:name w:val="首示例 Char"/>
    <w:link w:val="122"/>
    <w:qFormat/>
    <w:uiPriority w:val="0"/>
    <w:rPr>
      <w:rFonts w:ascii="宋体" w:hAnsi="宋体"/>
      <w:kern w:val="2"/>
      <w:sz w:val="18"/>
      <w:szCs w:val="18"/>
      <w:lang w:bidi="ar-SA"/>
    </w:rPr>
  </w:style>
  <w:style w:type="paragraph" w:customStyle="1" w:styleId="124">
    <w:name w:val="四级无"/>
    <w:basedOn w:val="61"/>
    <w:qFormat/>
    <w:uiPriority w:val="0"/>
    <w:pPr>
      <w:spacing w:before="0" w:beforeLines="0" w:after="0" w:afterLines="0"/>
    </w:pPr>
    <w:rPr>
      <w:rFonts w:ascii="宋体" w:eastAsia="宋体"/>
    </w:rPr>
  </w:style>
  <w:style w:type="paragraph" w:customStyle="1" w:styleId="125">
    <w:name w:val="条文脚注"/>
    <w:basedOn w:val="25"/>
    <w:qFormat/>
    <w:uiPriority w:val="0"/>
    <w:pPr>
      <w:numPr>
        <w:ilvl w:val="0"/>
        <w:numId w:val="0"/>
      </w:numPr>
      <w:tabs>
        <w:tab w:val="clear" w:pos="0"/>
      </w:tabs>
      <w:jc w:val="both"/>
    </w:pPr>
    <w:rPr>
      <w:rFonts w:ascii="宋体"/>
    </w:rPr>
  </w:style>
  <w:style w:type="paragraph" w:customStyle="1" w:styleId="126">
    <w:name w:val="图标脚注说明"/>
    <w:basedOn w:val="24"/>
    <w:qFormat/>
    <w:uiPriority w:val="0"/>
    <w:pPr>
      <w:ind w:left="840" w:hanging="420" w:firstLineChars="0"/>
    </w:pPr>
    <w:rPr>
      <w:sz w:val="18"/>
      <w:szCs w:val="18"/>
    </w:rPr>
  </w:style>
  <w:style w:type="paragraph" w:customStyle="1" w:styleId="127">
    <w:name w:val="图表脚注说明"/>
    <w:basedOn w:val="1"/>
    <w:qFormat/>
    <w:uiPriority w:val="0"/>
    <w:pPr>
      <w:numPr>
        <w:ilvl w:val="0"/>
        <w:numId w:val="16"/>
      </w:numPr>
    </w:pPr>
    <w:rPr>
      <w:rFonts w:ascii="宋体"/>
      <w:sz w:val="18"/>
      <w:szCs w:val="18"/>
    </w:rPr>
  </w:style>
  <w:style w:type="paragraph" w:customStyle="1" w:styleId="128">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0">
    <w:name w:val="五级无"/>
    <w:basedOn w:val="62"/>
    <w:qFormat/>
    <w:uiPriority w:val="0"/>
    <w:pPr>
      <w:spacing w:before="0" w:beforeLines="0" w:after="0" w:afterLines="0"/>
    </w:pPr>
    <w:rPr>
      <w:rFonts w:ascii="宋体" w:eastAsia="宋体"/>
    </w:rPr>
  </w:style>
  <w:style w:type="paragraph" w:customStyle="1" w:styleId="131">
    <w:name w:val="一级无"/>
    <w:basedOn w:val="48"/>
    <w:qFormat/>
    <w:uiPriority w:val="0"/>
    <w:pPr>
      <w:spacing w:before="0" w:beforeLines="0" w:after="0" w:afterLines="0"/>
    </w:pPr>
    <w:rPr>
      <w:rFonts w:ascii="宋体" w:eastAsia="宋体"/>
    </w:rPr>
  </w:style>
  <w:style w:type="paragraph" w:customStyle="1" w:styleId="132">
    <w:name w:val="正文表标题"/>
    <w:next w:val="24"/>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3">
    <w:name w:val="正文公式编号制表符"/>
    <w:basedOn w:val="24"/>
    <w:next w:val="24"/>
    <w:qFormat/>
    <w:uiPriority w:val="0"/>
    <w:pPr>
      <w:ind w:firstLine="0" w:firstLineChars="0"/>
    </w:pPr>
  </w:style>
  <w:style w:type="paragraph" w:customStyle="1" w:styleId="134">
    <w:name w:val="正文图标题"/>
    <w:next w:val="24"/>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35">
    <w:name w:val="终结线"/>
    <w:basedOn w:val="1"/>
    <w:qFormat/>
    <w:uiPriority w:val="0"/>
    <w:pPr>
      <w:framePr w:hSpace="181" w:vSpace="181" w:wrap="around" w:vAnchor="text" w:hAnchor="margin" w:xAlign="center" w:y="285"/>
    </w:pPr>
  </w:style>
  <w:style w:type="paragraph" w:customStyle="1" w:styleId="136">
    <w:name w:val="其他发布日期"/>
    <w:basedOn w:val="81"/>
    <w:qFormat/>
    <w:uiPriority w:val="0"/>
    <w:pPr>
      <w:framePr w:vAnchor="page" w:hAnchor="page" w:x="1419"/>
    </w:pPr>
  </w:style>
  <w:style w:type="paragraph" w:customStyle="1" w:styleId="137">
    <w:name w:val="其他实施日期"/>
    <w:basedOn w:val="120"/>
    <w:qFormat/>
    <w:uiPriority w:val="0"/>
  </w:style>
  <w:style w:type="paragraph" w:customStyle="1" w:styleId="138">
    <w:name w:val="封面标准名称2"/>
    <w:basedOn w:val="84"/>
    <w:qFormat/>
    <w:uiPriority w:val="0"/>
    <w:pPr>
      <w:framePr w:y="4469"/>
      <w:spacing w:before="630" w:beforeLines="630"/>
    </w:pPr>
  </w:style>
  <w:style w:type="paragraph" w:customStyle="1" w:styleId="139">
    <w:name w:val="封面标准英文名称2"/>
    <w:basedOn w:val="85"/>
    <w:qFormat/>
    <w:uiPriority w:val="0"/>
    <w:pPr>
      <w:framePr w:y="4469"/>
    </w:pPr>
  </w:style>
  <w:style w:type="paragraph" w:customStyle="1" w:styleId="140">
    <w:name w:val="封面一致性程度标识2"/>
    <w:basedOn w:val="86"/>
    <w:qFormat/>
    <w:uiPriority w:val="0"/>
    <w:pPr>
      <w:framePr w:y="4469"/>
    </w:pPr>
  </w:style>
  <w:style w:type="paragraph" w:customStyle="1" w:styleId="141">
    <w:name w:val="封面标准文稿类别2"/>
    <w:basedOn w:val="87"/>
    <w:qFormat/>
    <w:uiPriority w:val="0"/>
    <w:pPr>
      <w:framePr w:y="4469"/>
    </w:pPr>
  </w:style>
  <w:style w:type="paragraph" w:customStyle="1" w:styleId="142">
    <w:name w:val="封面标准文稿编辑信息2"/>
    <w:basedOn w:val="88"/>
    <w:qFormat/>
    <w:uiPriority w:val="0"/>
    <w:pPr>
      <w:framePr w:y="4469"/>
    </w:pPr>
  </w:style>
  <w:style w:type="paragraph" w:styleId="143">
    <w:name w:val="List Paragraph"/>
    <w:basedOn w:val="1"/>
    <w:qFormat/>
    <w:uiPriority w:val="1"/>
    <w:pPr>
      <w:ind w:firstLine="420" w:firstLineChars="200"/>
    </w:pPr>
    <w:rPr>
      <w:szCs w:val="21"/>
    </w:rPr>
  </w:style>
  <w:style w:type="paragraph" w:customStyle="1" w:styleId="144">
    <w:name w:val="样式 一级条标题 + 两端对齐1"/>
    <w:basedOn w:val="1"/>
    <w:next w:val="1"/>
    <w:qFormat/>
    <w:uiPriority w:val="0"/>
    <w:pPr>
      <w:widowControl/>
      <w:spacing w:beforeLines="50" w:afterLines="50"/>
      <w:ind w:left="142"/>
      <w:jc w:val="left"/>
      <w:outlineLvl w:val="2"/>
    </w:pPr>
    <w:rPr>
      <w:rFonts w:ascii="黑体" w:hAnsi="黑体" w:eastAsia="黑体" w:cs="宋体"/>
      <w:kern w:val="0"/>
      <w:szCs w:val="21"/>
    </w:rPr>
  </w:style>
  <w:style w:type="paragraph" w:customStyle="1" w:styleId="145">
    <w:name w:val="标准文件_段"/>
    <w:basedOn w:val="1"/>
    <w:qFormat/>
    <w:uiPriority w:val="0"/>
    <w:pPr>
      <w:widowControl/>
      <w:autoSpaceDE w:val="0"/>
      <w:autoSpaceDN w:val="0"/>
      <w:ind w:firstLine="200" w:firstLineChars="200"/>
    </w:pPr>
    <w:rPr>
      <w:rFonts w:ascii="宋体"/>
      <w:kern w:val="0"/>
      <w:szCs w:val="21"/>
    </w:rPr>
  </w:style>
  <w:style w:type="paragraph" w:customStyle="1" w:styleId="146">
    <w:name w:val="Table Paragraph"/>
    <w:basedOn w:val="1"/>
    <w:qFormat/>
    <w:uiPriority w:val="1"/>
    <w:pPr>
      <w:autoSpaceDE w:val="0"/>
      <w:autoSpaceDN w:val="0"/>
      <w:adjustRightInd w:val="0"/>
      <w:spacing w:before="38"/>
      <w:jc w:val="left"/>
    </w:pPr>
    <w:rPr>
      <w:rFonts w:ascii="宋体" w:cs="宋体"/>
      <w:kern w:val="0"/>
      <w:sz w:val="24"/>
    </w:rPr>
  </w:style>
  <w:style w:type="table" w:customStyle="1" w:styleId="147">
    <w:name w:val="Table Normal"/>
    <w:unhideWhenUsed/>
    <w:qFormat/>
    <w:uiPriority w:val="2"/>
    <w:rPr>
      <w:lang w:val="en-US" w:eastAsia="zh-CN" w:bidi="ar-SA"/>
    </w:rPr>
    <w:tblPr>
      <w:tblCellMar>
        <w:top w:w="0" w:type="dxa"/>
        <w:left w:w="0" w:type="dxa"/>
        <w:bottom w:w="0" w:type="dxa"/>
        <w:right w:w="0" w:type="dxa"/>
      </w:tblCellMar>
    </w:tblPr>
  </w:style>
  <w:style w:type="paragraph" w:customStyle="1" w:styleId="148">
    <w:name w:val="WPSOffice手动目录 1"/>
    <w:qFormat/>
    <w:uiPriority w:val="0"/>
    <w:rPr>
      <w:rFonts w:ascii="Times New Roman" w:hAnsi="Times New Roman" w:eastAsia="宋体" w:cs="Times New Roman"/>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3671</Words>
  <Characters>4159</Characters>
  <Lines>33</Lines>
  <Paragraphs>9</Paragraphs>
  <TotalTime>16</TotalTime>
  <ScaleCrop>false</ScaleCrop>
  <LinksUpToDate>false</LinksUpToDate>
  <CharactersWithSpaces>4260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2022-10-17T01:03:00Z</dcterms:created>
  <dc:creator>℡疯▼子◥</dc:creator>
  <cp:lastModifiedBy>陈星曈</cp:lastModifiedBy>
  <cp:lastPrinted>2023-04-28T08:17:00Z</cp:lastPrinted>
  <dcterms:modified xsi:type="dcterms:W3CDTF">2025-08-01T03:11:32Z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9297BF566D464DDCB0E0FE18D59DC544_13</vt:lpwstr>
  </property>
  <property fmtid="{D5CDD505-2E9C-101B-9397-08002B2CF9AE}" pid="4" name="KSOTemplateDocerSaveRecord">
    <vt:lpwstr>eyJoZGlkIjoiNzhiMjFhNjIyYzE0ZWNjMWI5NjJlODEyYTM4NmRiY2EiLCJ1c2VySWQiOiIxMjEzNjU0MDg4In0=</vt:lpwstr>
  </property>
</Properties>
</file>